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b/>
          <w:bCs/>
          <w:color w:val="2E6B8A"/>
          <w:sz w:val="18"/>
          <w:szCs w:val="18"/>
        </w:rPr>
        <w:t xml:space="preserve">BREATHE-CC · INTEGRATED EXPOSURE INDEX</w:t>
      </w:r>
    </w:p>
    <w:p>
      <w:pPr>
        <w:spacing w:after="80"/>
      </w:pPr>
      <w:r>
        <w:rPr>
          <w:rFonts w:ascii="Times New Roman" w:cs="Times New Roman" w:eastAsia="Times New Roman" w:hAnsi="Times New Roman"/>
          <w:b/>
          <w:bCs/>
          <w:color w:val="213C4E"/>
          <w:sz w:val="40"/>
          <w:szCs w:val="40"/>
        </w:rPr>
        <w:t xml:space="preserve">IEI Field Inventory and Minimal Addition Set</w:t>
      </w:r>
    </w:p>
    <w:p>
      <w:pPr>
        <w:pBdr>
          <w:bottom w:val="single" w:color="213C4E" w:sz="12" w:space="8"/>
        </w:pBdr>
        <w:spacing w:after="140"/>
      </w:pPr>
      <w:r>
        <w:rPr>
          <w:rFonts w:ascii="Times New Roman" w:cs="Times New Roman" w:eastAsia="Times New Roman" w:hAnsi="Times New Roman"/>
          <w:i/>
          <w:iCs/>
          <w:color w:val="444444"/>
          <w:sz w:val="24"/>
          <w:szCs w:val="24"/>
        </w:rPr>
        <w:t xml:space="preserve">What BREATHE-CC already collects, what the Integrated Exposure Index still needs, and the smallest set of new items that closes the gap</w:t>
      </w:r>
    </w:p>
    <w:p>
      <w:pPr>
        <w:spacing w:after="40" w:before="0" w:line="276"/>
      </w:pPr>
      <w:r>
        <w:rPr>
          <w:rFonts w:ascii="Times New Roman" w:cs="Times New Roman" w:eastAsia="Times New Roman" w:hAnsi="Times New Roman"/>
          <w:b/>
          <w:bCs/>
          <w:sz w:val="19"/>
          <w:szCs w:val="19"/>
        </w:rPr>
        <w:t xml:space="preserve">Prepared by  </w:t>
      </w:r>
      <w:r>
        <w:rPr>
          <w:rFonts w:ascii="Times New Roman" w:cs="Times New Roman" w:eastAsia="Times New Roman" w:hAnsi="Times New Roman"/>
          <w:sz w:val="19"/>
          <w:szCs w:val="19"/>
        </w:rPr>
        <w:t xml:space="preserve">Aidan Meyers, Project Coordinator — BREATHE-CC</w:t>
      </w:r>
    </w:p>
    <w:p>
      <w:pPr>
        <w:spacing w:after="40" w:before="0" w:line="276"/>
      </w:pPr>
      <w:r>
        <w:rPr>
          <w:rFonts w:ascii="Times New Roman" w:cs="Times New Roman" w:eastAsia="Times New Roman" w:hAnsi="Times New Roman"/>
          <w:b/>
          <w:bCs/>
          <w:sz w:val="19"/>
          <w:szCs w:val="19"/>
        </w:rPr>
        <w:t xml:space="preserve">For  </w:t>
      </w:r>
      <w:r>
        <w:rPr>
          <w:rFonts w:ascii="Times New Roman" w:cs="Times New Roman" w:eastAsia="Times New Roman" w:hAnsi="Times New Roman"/>
          <w:sz w:val="19"/>
          <w:szCs w:val="19"/>
        </w:rPr>
        <w:t xml:space="preserve">Dr. Shan-Estelle Brown (Thesis Sponsor); Dr. Rajesh Melaram (PI, BREATHE-CC)</w:t>
      </w:r>
    </w:p>
    <w:p>
      <w:pPr>
        <w:spacing w:after="40" w:before="0" w:line="276"/>
      </w:pPr>
      <w:r>
        <w:rPr>
          <w:rFonts w:ascii="Times New Roman" w:cs="Times New Roman" w:eastAsia="Times New Roman" w:hAnsi="Times New Roman"/>
          <w:b/>
          <w:bCs/>
          <w:sz w:val="19"/>
          <w:szCs w:val="19"/>
        </w:rPr>
        <w:t xml:space="preserve">Date  </w:t>
      </w:r>
      <w:r>
        <w:rPr>
          <w:rFonts w:ascii="Times New Roman" w:cs="Times New Roman" w:eastAsia="Times New Roman" w:hAnsi="Times New Roman"/>
          <w:sz w:val="19"/>
          <w:szCs w:val="19"/>
        </w:rPr>
        <w:t xml:space="preserve">September 9, 2026</w:t>
      </w:r>
    </w:p>
    <w:p>
      <w:pPr>
        <w:spacing w:after="40" w:before="0" w:line="276"/>
      </w:pPr>
      <w:r>
        <w:rPr>
          <w:rFonts w:ascii="Times New Roman" w:cs="Times New Roman" w:eastAsia="Times New Roman" w:hAnsi="Times New Roman"/>
          <w:b/>
          <w:bCs/>
          <w:sz w:val="19"/>
          <w:szCs w:val="19"/>
        </w:rPr>
        <w:t xml:space="preserve">Source of truth  </w:t>
      </w:r>
      <w:r>
        <w:rPr>
          <w:rFonts w:ascii="Times New Roman" w:cs="Times New Roman" w:eastAsia="Times New Roman" w:hAnsi="Times New Roman"/>
          <w:sz w:val="19"/>
          <w:szCs w:val="19"/>
        </w:rPr>
        <w:t xml:space="preserve">REDCap v16.1.4 production export, August 25, 2026 — 11 instruments, 289 fields, 19 events, 1 arm</w:t>
      </w:r>
    </w:p>
    <w:p>
      <w:pPr>
        <w:spacing w:after="40" w:before="0" w:line="276"/>
      </w:pPr>
      <w:r>
        <w:rPr>
          <w:rFonts w:ascii="Times New Roman" w:cs="Times New Roman" w:eastAsia="Times New Roman" w:hAnsi="Times New Roman"/>
          <w:b/>
          <w:bCs/>
          <w:sz w:val="19"/>
          <w:szCs w:val="19"/>
        </w:rPr>
        <w:t xml:space="preserve">Compared against  </w:t>
      </w:r>
      <w:r>
        <w:rPr>
          <w:rFonts w:ascii="Times New Roman" w:cs="Times New Roman" w:eastAsia="Times New Roman" w:hAnsi="Times New Roman"/>
          <w:sz w:val="19"/>
          <w:szCs w:val="19"/>
        </w:rPr>
        <w:t xml:space="preserve">BREATHE-CC_TimeActivity_Supplement_DataDictionary.csv (draft, August 31, 2026 — 75 rows)</w:t>
      </w:r>
    </w:p>
    <w:p>
      <w:pPr>
        <w:spacing w:after="160"/>
      </w:pPr>
      <w:r>
        <w:t xml:space="preserve"/>
      </w:r>
    </w:p>
    <w:tbl>
      <w:tblPr>
        <w:tblW w:type="dxa" w:w="10080"/>
        <w:tblBorders>
          <w:top w:val="single" w:color="213C4E" w:sz="4"/>
          <w:left w:val="single" w:color="213C4E" w:sz="18"/>
          <w:bottom w:val="single" w:color="213C4E" w:sz="4"/>
          <w:right w:val="single" w:color="213C4E"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213C4E"/>
                <w:sz w:val="21"/>
                <w:szCs w:val="21"/>
              </w:rPr>
              <w:t xml:space="preserve">Headline findings</w:t>
            </w:r>
          </w:p>
          <w:p>
            <w:pPr>
              <w:spacing w:after="90" w:before="0" w:line="276"/>
            </w:pPr>
            <w:r>
              <w:rPr>
                <w:rFonts w:ascii="Times New Roman" w:cs="Times New Roman" w:eastAsia="Times New Roman" w:hAnsi="Times New Roman"/>
                <w:b/>
                <w:bCs/>
                <w:sz w:val="20"/>
                <w:szCs w:val="20"/>
              </w:rPr>
              <w:t xml:space="preserve">1.  Most of the drafted supplement already exists. </w:t>
            </w:r>
            <w:r>
              <w:rPr>
                <w:rFonts w:ascii="Times New Roman" w:cs="Times New Roman" w:eastAsia="Times New Roman" w:hAnsi="Times New Roman"/>
                <w:sz w:val="20"/>
                <w:szCs w:val="20"/>
              </w:rPr>
              <w:t xml:space="preserve">Of the 61 participant-facing items in the August 31 draft, 22 duplicate fields that are already live in production and a further 9 can be obtained from public records without asking anyone. Only a small core is genuinely missing.</w:t>
            </w:r>
          </w:p>
          <w:p>
            <w:pPr>
              <w:spacing w:after="90" w:before="0" w:line="276"/>
            </w:pPr>
            <w:r>
              <w:rPr>
                <w:rFonts w:ascii="Times New Roman" w:cs="Times New Roman" w:eastAsia="Times New Roman" w:hAnsi="Times New Roman"/>
                <w:b/>
                <w:bCs/>
                <w:sz w:val="20"/>
                <w:szCs w:val="20"/>
              </w:rPr>
              <w:t xml:space="preserve">2.  The secondary-residence and school addresses are already collected and already geocoded. </w:t>
            </w:r>
            <w:r>
              <w:rPr>
                <w:rFonts w:ascii="Times New Roman" w:cs="Times New Roman" w:eastAsia="Times New Roman" w:hAnsi="Times New Roman"/>
                <w:sz w:val="20"/>
                <w:szCs w:val="20"/>
              </w:rPr>
              <w:t xml:space="preserve">sec_street_address, sec_city, sec_state and sec_zip_code are live in secondary_household_details and are already flagged Identifier = Y. school_address, school_lat and school_lon are live in geocode_derived_variables, populated via API import from school_name. The premise that this supplement introduces new HIPAA identifiers is incorrect.</w:t>
            </w:r>
          </w:p>
          <w:p>
            <w:pPr>
              <w:spacing w:after="90" w:before="0" w:line="276"/>
            </w:pPr>
            <w:r>
              <w:rPr>
                <w:rFonts w:ascii="Times New Roman" w:cs="Times New Roman" w:eastAsia="Times New Roman" w:hAnsi="Times New Roman"/>
                <w:b/>
                <w:bCs/>
                <w:sz w:val="20"/>
                <w:szCs w:val="20"/>
              </w:rPr>
              <w:t xml:space="preserve">3.  The recommended addition is 10 participant-facing items, </w:t>
            </w:r>
            <w:r>
              <w:rPr>
                <w:rFonts w:ascii="Times New Roman" w:cs="Times New Roman" w:eastAsia="Times New Roman" w:hAnsi="Times New Roman"/>
                <w:sz w:val="20"/>
                <w:szCs w:val="20"/>
              </w:rPr>
              <w:t xml:space="preserve">down from 61 — an 84% reduction. With branching, the median participant sees 7 and completes the instrument in roughly 90 seconds. No new HIPAA identifiers are introduced.</w:t>
            </w:r>
          </w:p>
          <w:p>
            <w:pPr>
              <w:spacing w:after="0" w:before="0" w:line="276"/>
            </w:pPr>
            <w:r>
              <w:rPr>
                <w:rFonts w:ascii="Times New Roman" w:cs="Times New Roman" w:eastAsia="Times New Roman" w:hAnsi="Times New Roman"/>
                <w:b/>
                <w:bCs/>
                <w:sz w:val="20"/>
                <w:szCs w:val="20"/>
              </w:rPr>
              <w:t xml:space="preserve">4.  This should be a minor modification, not a consent addendum. </w:t>
            </w:r>
            <w:r>
              <w:rPr>
                <w:rFonts w:ascii="Times New Roman" w:cs="Times New Roman" w:eastAsia="Times New Roman" w:hAnsi="Times New Roman"/>
                <w:sz w:val="20"/>
                <w:szCs w:val="20"/>
              </w:rPr>
              <w:t xml:space="preserve">No new identifier classes, no new sensitive categories, no change to risk. On the estimates in the thesis timeline that is 2–4 weeks rather than 4–6, and it removes the single largest schedule risk in the fall semester.</w:t>
            </w:r>
          </w:p>
        </w:tc>
      </w:tr>
    </w:tbl>
    <w:p>
      <w:pPr>
        <w:spacing w:after="20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1.  What the Integrated Exposure Index actually requires</w:t>
      </w:r>
    </w:p>
    <w:p>
      <w:pPr>
        <w:spacing w:after="120" w:before="0" w:line="276"/>
      </w:pPr>
      <w:r>
        <w:rPr>
          <w:rFonts w:ascii="Times New Roman" w:cs="Times New Roman" w:eastAsia="Times New Roman" w:hAnsi="Times New Roman"/>
          <w:sz w:val="22"/>
          <w:szCs w:val="22"/>
        </w:rPr>
        <w:t xml:space="preserve">The IEI is a time-weighted composite of the concentrations a child encounters across the microenvironments they move through in a week:</w:t>
      </w:r>
    </w:p>
    <w:p>
      <w:pPr>
        <w:spacing w:after="80" w:before="0" w:line="276"/>
        <w:ind w:left="260"/>
      </w:pPr>
      <w:r>
        <w:rPr>
          <w:rFonts w:ascii="Consolas" w:cs="Consolas" w:eastAsia="Consolas" w:hAnsi="Consolas"/>
          <w:color w:val="213C4E"/>
          <w:sz w:val="22"/>
          <w:szCs w:val="22"/>
        </w:rPr>
        <w:t xml:space="preserve">IEI_i  =  Σ_j ( f_ij × C_ij )</w:t>
      </w:r>
    </w:p>
    <w:p>
      <w:pPr>
        <w:spacing w:after="120" w:before="0" w:line="276"/>
      </w:pPr>
      <w:r>
        <w:rPr>
          <w:rFonts w:ascii="Times New Roman" w:cs="Times New Roman" w:eastAsia="Times New Roman" w:hAnsi="Times New Roman"/>
          <w:sz w:val="22"/>
          <w:szCs w:val="22"/>
        </w:rPr>
        <w:t xml:space="preserve">where </w:t>
      </w:r>
      <w:r>
        <w:rPr>
          <w:rFonts w:ascii="Consolas" w:cs="Consolas" w:eastAsia="Consolas" w:hAnsi="Consolas"/>
          <w:sz w:val="20"/>
          <w:szCs w:val="20"/>
        </w:rPr>
        <w:t xml:space="preserve">f_ij</w:t>
      </w:r>
      <w:r>
        <w:rPr>
          <w:rFonts w:ascii="Times New Roman" w:cs="Times New Roman" w:eastAsia="Times New Roman" w:hAnsi="Times New Roman"/>
          <w:sz w:val="22"/>
          <w:szCs w:val="22"/>
        </w:rPr>
        <w:t xml:space="preserve"> is the fraction of time child </w:t>
      </w:r>
      <w:r>
        <w:rPr>
          <w:rFonts w:ascii="Times New Roman" w:cs="Times New Roman" w:eastAsia="Times New Roman" w:hAnsi="Times New Roman"/>
          <w:i/>
          <w:iCs/>
          <w:sz w:val="22"/>
          <w:szCs w:val="22"/>
        </w:rPr>
        <w:t xml:space="preserve">i</w:t>
      </w:r>
      <w:r>
        <w:rPr>
          <w:rFonts w:ascii="Times New Roman" w:cs="Times New Roman" w:eastAsia="Times New Roman" w:hAnsi="Times New Roman"/>
          <w:sz w:val="22"/>
          <w:szCs w:val="22"/>
        </w:rPr>
        <w:t xml:space="preserve"> spends in microenvironment </w:t>
      </w:r>
      <w:r>
        <w:rPr>
          <w:rFonts w:ascii="Times New Roman" w:cs="Times New Roman" w:eastAsia="Times New Roman" w:hAnsi="Times New Roman"/>
          <w:i/>
          <w:iCs/>
          <w:sz w:val="22"/>
          <w:szCs w:val="22"/>
        </w:rPr>
        <w:t xml:space="preserve">j</w:t>
      </w:r>
      <w:r>
        <w:rPr>
          <w:rFonts w:ascii="Times New Roman" w:cs="Times New Roman" w:eastAsia="Times New Roman" w:hAnsi="Times New Roman"/>
          <w:sz w:val="22"/>
          <w:szCs w:val="22"/>
        </w:rPr>
        <w:t xml:space="preserve">, and </w:t>
      </w:r>
      <w:r>
        <w:rPr>
          <w:rFonts w:ascii="Consolas" w:cs="Consolas" w:eastAsia="Consolas" w:hAnsi="Consolas"/>
          <w:sz w:val="20"/>
          <w:szCs w:val="20"/>
        </w:rPr>
        <w:t xml:space="preserve">C_ij</w:t>
      </w:r>
      <w:r>
        <w:rPr>
          <w:rFonts w:ascii="Times New Roman" w:cs="Times New Roman" w:eastAsia="Times New Roman" w:hAnsi="Times New Roman"/>
          <w:sz w:val="22"/>
          <w:szCs w:val="22"/>
        </w:rPr>
        <w:t xml:space="preserve"> is the concentration there. Indoor concentrations are modelled by mass balance:</w:t>
      </w:r>
    </w:p>
    <w:p>
      <w:pPr>
        <w:spacing w:after="80" w:before="0" w:line="276"/>
        <w:ind w:left="260"/>
      </w:pPr>
      <w:r>
        <w:rPr>
          <w:rFonts w:ascii="Consolas" w:cs="Consolas" w:eastAsia="Consolas" w:hAnsi="Consolas"/>
          <w:color w:val="213C4E"/>
          <w:sz w:val="22"/>
          <w:szCs w:val="22"/>
        </w:rPr>
        <w:t xml:space="preserve">C_indoor  =  F_inf × C_ambient  +  C_source</w:t>
      </w:r>
    </w:p>
    <w:p>
      <w:pPr>
        <w:spacing w:after="120" w:before="0" w:line="276"/>
      </w:pPr>
      <w:r>
        <w:rPr>
          <w:rFonts w:ascii="Times New Roman" w:cs="Times New Roman" w:eastAsia="Times New Roman" w:hAnsi="Times New Roman"/>
          <w:sz w:val="22"/>
          <w:szCs w:val="22"/>
        </w:rPr>
        <w:t xml:space="preserve">That equation dictates exactly four classes of input, and nothing else. Any proposed field that does not feed one of them is out of scope for this thesis, however interesting it is:</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1700"/>
        <w:gridCol w:w="4880"/>
        <w:gridCol w:w="3500"/>
      </w:tblGrid>
      <w:tr>
        <w:trPr>
          <w:tblHeader/>
        </w:trPr>
        <w:tc>
          <w:tcPr>
            <w:tcW w:type="dxa" w:w="17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Input class</w:t>
            </w:r>
          </w:p>
        </w:tc>
        <w:tc>
          <w:tcPr>
            <w:tcW w:type="dxa" w:w="48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it supplies</w:t>
            </w:r>
          </w:p>
        </w:tc>
        <w:tc>
          <w:tcPr>
            <w:tcW w:type="dxa" w:w="35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Status in production</w:t>
            </w:r>
          </w:p>
        </w:tc>
      </w:tr>
      <w:tr>
        <w:tc>
          <w:tcPr>
            <w:tcW w:type="dxa" w:w="1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Location</w:t>
            </w:r>
          </w:p>
        </w:tc>
        <w:tc>
          <w:tcPr>
            <w:tcW w:type="dxa" w:w="48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Coordinates for each place the child spends meaningful time, so ambient concentrations can be extracted from the kriged pollutant surfaces.</w:t>
            </w:r>
          </w:p>
        </w:tc>
        <w:tc>
          <w:tcPr>
            <w:tcW w:type="dxa" w:w="3500"/>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Complete — primary, secondary, school and daycare all geocoded</w:t>
            </w:r>
          </w:p>
        </w:tc>
      </w:tr>
      <w:tr>
        <w:tc>
          <w:tcPr>
            <w:tcW w:type="dxa" w:w="1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 weights (f)</w:t>
            </w:r>
          </w:p>
        </w:tc>
        <w:tc>
          <w:tcPr>
            <w:tcW w:type="dxa" w:w="48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The fraction of the week spent in each microenvironment. Without these the index cannot be time-weighted at all.</w:t>
            </w:r>
          </w:p>
        </w:tc>
        <w:tc>
          <w:tcPr>
            <w:tcW w:type="dxa" w:w="3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45309"/>
                <w:sz w:val="18"/>
                <w:szCs w:val="18"/>
              </w:rPr>
              <w:t xml:space="preserve">Partial — home-vs-home split exists; indoor/outdoor/transit split does not</w:t>
            </w:r>
          </w:p>
        </w:tc>
      </w:tr>
      <w:tr>
        <w:tc>
          <w:tcPr>
            <w:tcW w:type="dxa" w:w="1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Infiltration (F_inf)</w:t>
            </w:r>
          </w:p>
        </w:tc>
        <w:tc>
          <w:tcPr>
            <w:tcW w:type="dxa" w:w="48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How readily outdoor air enters the home. Driven principally by window-opening behaviour and air-conditioning use.</w:t>
            </w:r>
          </w:p>
        </w:tc>
        <w:tc>
          <w:tcPr>
            <w:tcW w:type="dxa" w:w="35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Missing — equipment type is captured, usage behaviour is not</w:t>
            </w:r>
          </w:p>
        </w:tc>
      </w:tr>
      <w:tr>
        <w:tc>
          <w:tcPr>
            <w:tcW w:type="dxa" w:w="1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Indoor sources (C_source)</w:t>
            </w:r>
          </w:p>
        </w:tc>
        <w:tc>
          <w:tcPr>
            <w:tcW w:type="dxa" w:w="48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Combustion and biological sources inside the home: gas cooking, tobacco smoke, mould and damp, pets.</w:t>
            </w:r>
          </w:p>
        </w:tc>
        <w:tc>
          <w:tcPr>
            <w:tcW w:type="dxa" w:w="3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45309"/>
                <w:sz w:val="18"/>
                <w:szCs w:val="18"/>
              </w:rPr>
              <w:t xml:space="preserve">Nearly complete — only cooking frequency and air cleaning are absent</w:t>
            </w:r>
          </w:p>
        </w:tc>
      </w:tr>
    </w:tbl>
    <w:p>
      <w:pPr>
        <w:spacing w:after="120"/>
      </w:pPr>
      <w:r>
        <w:t xml:space="preserve"/>
      </w:r>
    </w:p>
    <w:tbl>
      <w:tblPr>
        <w:tblW w:type="dxa" w:w="10080"/>
        <w:tblBorders>
          <w:top w:val="single" w:color="B45309" w:sz="4"/>
          <w:left w:val="single" w:color="B45309" w:sz="18"/>
          <w:bottom w:val="single" w:color="B45309" w:sz="4"/>
          <w:right w:val="single" w:color="B45309"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B45309"/>
                <w:sz w:val="21"/>
                <w:szCs w:val="21"/>
              </w:rPr>
              <w:t xml:space="preserve">Why "partial" on time weights is the whole problem</w:t>
            </w:r>
          </w:p>
          <w:p>
            <w:pPr>
              <w:spacing w:after="60" w:before="0" w:line="276"/>
            </w:pPr>
            <w:r>
              <w:rPr>
                <w:rFonts w:ascii="Times New Roman" w:cs="Times New Roman" w:eastAsia="Times New Roman" w:hAnsi="Times New Roman"/>
                <w:sz w:val="20"/>
                <w:szCs w:val="20"/>
              </w:rPr>
              <w:t xml:space="preserve">The cohort already records the share of nights at each home (primary_home_pct) and the share at the secondary home is calculated from it. What is missing is the split within a day: how much of it is spent indoors at home, outdoors, at school, or in a vehicle. Ambient and indoor concentrations differ by a factor of two or more, so without that split every child is assigned the same generic indoor/outdoor ratio and the index reduces to a spatially-varying but temporally-flat exposure estimate. That is the gap the addition set closes, and it is the only gap that genuinely requires asking a parent.</w:t>
            </w:r>
          </w:p>
        </w:tc>
      </w:tr>
    </w:tbl>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2.  Fields already in production that feed the IEI</w:t>
      </w:r>
    </w:p>
    <w:p>
      <w:pPr>
        <w:spacing w:after="120" w:before="0" w:line="276"/>
      </w:pPr>
      <w:r>
        <w:rPr>
          <w:rFonts w:ascii="Times New Roman" w:cs="Times New Roman" w:eastAsia="Times New Roman" w:hAnsi="Times New Roman"/>
          <w:sz w:val="22"/>
          <w:szCs w:val="22"/>
        </w:rPr>
        <w:t xml:space="preserve">Every field below is live in the August 25 export. Nothing in this section needs to be added, re-asked, or submitted to the IRB.</w:t>
      </w:r>
    </w:p>
    <w:p>
      <w:pPr>
        <w:pStyle w:val="Heading2"/>
        <w:spacing w:after="100" w:before="260"/>
      </w:pPr>
      <w:r>
        <w:rPr>
          <w:rFonts w:ascii="Times New Roman" w:cs="Times New Roman" w:eastAsia="Times New Roman" w:hAnsi="Times New Roman"/>
          <w:b/>
          <w:bCs/>
          <w:color w:val="2E6B8A"/>
          <w:sz w:val="24"/>
          <w:szCs w:val="24"/>
        </w:rPr>
        <w:t xml:space="preserve">2.1  Location and outdoor exposure</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760"/>
        <w:gridCol w:w="2000"/>
        <w:gridCol w:w="1220"/>
        <w:gridCol w:w="4100"/>
      </w:tblGrid>
      <w:tr>
        <w:trPr>
          <w:tblHeader/>
        </w:trPr>
        <w:tc>
          <w:tcPr>
            <w:tcW w:type="dxa" w:w="276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20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Instrument</w:t>
            </w:r>
          </w:p>
        </w:tc>
        <w:tc>
          <w:tcPr>
            <w:tcW w:type="dxa" w:w="122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41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it gives the IEI</w:t>
            </w:r>
          </w:p>
        </w:tc>
      </w:tr>
      <w:tr>
        <w:tc>
          <w:tcPr>
            <w:tcW w:type="dxa" w:w="27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street_address, city, state, zip_code</w:t>
            </w:r>
          </w:p>
        </w:tc>
        <w:tc>
          <w:tcPr>
            <w:tcW w:type="dxa" w:w="20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identification_contact</w:t>
            </w:r>
          </w:p>
        </w:tc>
        <w:tc>
          <w:tcPr>
            <w:tcW w:type="dxa" w:w="1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Primary residence — the anchor for ambient extraction</w:t>
            </w:r>
          </w:p>
        </w:tc>
      </w:tr>
      <w:tr>
        <w:tc>
          <w:tcPr>
            <w:tcW w:type="dxa" w:w="27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masked_lat, masked_lon</w:t>
            </w:r>
          </w:p>
        </w:tc>
        <w:tc>
          <w:tcPr>
            <w:tcW w:type="dxa" w:w="20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geocode_derived</w:t>
            </w:r>
          </w:p>
        </w:tc>
        <w:tc>
          <w:tcPr>
            <w:tcW w:type="dxa" w:w="1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Geocoded and spatially jittered primary coordinates (API import)</w:t>
            </w:r>
          </w:p>
        </w:tc>
      </w:tr>
      <w:tr>
        <w:tc>
          <w:tcPr>
            <w:tcW w:type="dxa" w:w="27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sec_street_address, sec_city, sec_state, sec_zip_code</w:t>
            </w:r>
          </w:p>
        </w:tc>
        <w:tc>
          <w:tcPr>
            <w:tcW w:type="dxa" w:w="20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secondary_household</w:t>
            </w:r>
          </w:p>
        </w:tc>
        <w:tc>
          <w:tcPr>
            <w:tcW w:type="dxa" w:w="1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Secondary residence, already collected and flagged as an identifier</w:t>
            </w:r>
          </w:p>
        </w:tc>
      </w:tr>
      <w:tr>
        <w:tc>
          <w:tcPr>
            <w:tcW w:type="dxa" w:w="27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secondary_masked_lat, secondary_masked_lon</w:t>
            </w:r>
          </w:p>
        </w:tc>
        <w:tc>
          <w:tcPr>
            <w:tcW w:type="dxa" w:w="20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geocode_derived</w:t>
            </w:r>
          </w:p>
        </w:tc>
        <w:tc>
          <w:tcPr>
            <w:tcW w:type="dxa" w:w="1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Geocoded and jittered secondary coordinates</w:t>
            </w:r>
          </w:p>
        </w:tc>
      </w:tr>
      <w:tr>
        <w:tc>
          <w:tcPr>
            <w:tcW w:type="dxa" w:w="27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school_name, school_grade, school_attendance</w:t>
            </w:r>
          </w:p>
        </w:tc>
        <w:tc>
          <w:tcPr>
            <w:tcW w:type="dxa" w:w="20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demographics_intake</w:t>
            </w:r>
          </w:p>
        </w:tc>
        <w:tc>
          <w:tcPr>
            <w:tcW w:type="dxa" w:w="1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 / radio</w:t>
            </w:r>
          </w:p>
        </w:tc>
        <w:tc>
          <w:tcPr>
            <w:tcW w:type="dxa" w:w="41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 identification and enrolment status</w:t>
            </w:r>
          </w:p>
        </w:tc>
      </w:tr>
      <w:tr>
        <w:tc>
          <w:tcPr>
            <w:tcW w:type="dxa" w:w="27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school_address, school_lat, school_lon</w:t>
            </w:r>
          </w:p>
        </w:tc>
        <w:tc>
          <w:tcPr>
            <w:tcW w:type="dxa" w:w="20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geocode_derived</w:t>
            </w:r>
          </w:p>
        </w:tc>
        <w:tc>
          <w:tcPr>
            <w:tcW w:type="dxa" w:w="1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Cleaned school address and coordinates, populated via API import</w:t>
            </w:r>
          </w:p>
        </w:tc>
      </w:tr>
      <w:tr>
        <w:tc>
          <w:tcPr>
            <w:tcW w:type="dxa" w:w="27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daycare_current_name, daycare_attend</w:t>
            </w:r>
          </w:p>
        </w:tc>
        <w:tc>
          <w:tcPr>
            <w:tcW w:type="dxa" w:w="20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demographics_intake</w:t>
            </w:r>
          </w:p>
        </w:tc>
        <w:tc>
          <w:tcPr>
            <w:tcW w:type="dxa" w:w="1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 / radio</w:t>
            </w:r>
          </w:p>
        </w:tc>
        <w:tc>
          <w:tcPr>
            <w:tcW w:type="dxa" w:w="41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Childcare identification</w:t>
            </w:r>
          </w:p>
        </w:tc>
      </w:tr>
      <w:tr>
        <w:tc>
          <w:tcPr>
            <w:tcW w:type="dxa" w:w="27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daycare_address, daycare_lat, daycare_lon</w:t>
            </w:r>
          </w:p>
        </w:tc>
        <w:tc>
          <w:tcPr>
            <w:tcW w:type="dxa" w:w="20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geocode_derived</w:t>
            </w:r>
          </w:p>
        </w:tc>
        <w:tc>
          <w:tcPr>
            <w:tcW w:type="dxa" w:w="1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Cleaned childcare address and coordinates, populated via API import</w:t>
            </w:r>
          </w:p>
        </w:tc>
      </w:tr>
      <w:tr>
        <w:tc>
          <w:tcPr>
            <w:tcW w:type="dxa" w:w="27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addr_new_street_address (+ city, state, zip)</w:t>
            </w:r>
          </w:p>
        </w:tc>
        <w:tc>
          <w:tcPr>
            <w:tcW w:type="dxa" w:w="20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change_of_address</w:t>
            </w:r>
          </w:p>
        </w:tc>
        <w:tc>
          <w:tcPr>
            <w:tcW w:type="dxa" w:w="1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41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Residential mobility — triggers re-extraction of the ambient surface</w:t>
            </w:r>
          </w:p>
        </w:tc>
      </w:tr>
      <w:tr>
        <w:tc>
          <w:tcPr>
            <w:tcW w:type="dxa" w:w="27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industrial_work / sec_industrial_work</w:t>
            </w:r>
          </w:p>
        </w:tc>
        <w:tc>
          <w:tcPr>
            <w:tcW w:type="dxa" w:w="20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household details</w:t>
            </w:r>
          </w:p>
        </w:tc>
        <w:tc>
          <w:tcPr>
            <w:tcW w:type="dxa" w:w="1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41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Occupational take-home exposure pathway (port, oil &amp; gas, refinery)</w:t>
            </w:r>
          </w:p>
        </w:tc>
      </w:tr>
    </w:tbl>
    <w:p>
      <w:pPr>
        <w:pStyle w:val="Heading2"/>
        <w:spacing w:after="100" w:before="260"/>
      </w:pPr>
      <w:r>
        <w:rPr>
          <w:rFonts w:ascii="Times New Roman" w:cs="Times New Roman" w:eastAsia="Times New Roman" w:hAnsi="Times New Roman"/>
          <w:b/>
          <w:bCs/>
          <w:color w:val="2E6B8A"/>
          <w:sz w:val="24"/>
          <w:szCs w:val="24"/>
        </w:rPr>
        <w:t xml:space="preserve">2.2  Time-weighting fields already present</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700"/>
        <w:gridCol w:w="1300"/>
        <w:gridCol w:w="6080"/>
      </w:tblGrid>
      <w:tr>
        <w:trPr>
          <w:tblHeader/>
        </w:trPr>
        <w:tc>
          <w:tcPr>
            <w:tcW w:type="dxa" w:w="27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13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60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it gives the IEI</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multi_household_custody</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60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Whether the child splits time between two homes — the gate for the whole secondary-residence branch</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primary_home_pct</w:t>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 (int)</w:t>
            </w:r>
          </w:p>
        </w:tc>
        <w:tc>
          <w:tcPr>
            <w:tcW w:type="dxa" w:w="6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Percentage of time at the primary home. Directly reusable as the home-vs-home weight.</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secondary_home_pct_calc</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60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Calculated as 100 − primary_home_pct; @READONLY</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multi_household_arrangement</w:t>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dropdown</w:t>
            </w:r>
          </w:p>
        </w:tc>
        <w:tc>
          <w:tcPr>
            <w:tcW w:type="dxa" w:w="6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Equal time / primarily one home with regular or occasional visits — a consistency check on primary_home_pct</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household_transition_freq</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dropdown</w:t>
            </w:r>
          </w:p>
        </w:tc>
        <w:tc>
          <w:tcPr>
            <w:tcW w:type="dxa" w:w="60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Daily through monthly — governs how quickly exposure alternates between the two surfaces</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regular_visits, regular_visits_details</w:t>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 text</w:t>
            </w:r>
          </w:p>
        </w:tc>
        <w:tc>
          <w:tcPr>
            <w:tcW w:type="dxa" w:w="6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Other regularly-visited locations (grandparents, relatives) with free-text frequency</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school_attendance, daycare_attend</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60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Whether a school or childcare microenvironment applies at all</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transportation_means</w:t>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6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Modes the child regularly travels in — own vehicle, public transport, walk/bicycle, and so on</w:t>
            </w:r>
          </w:p>
        </w:tc>
      </w:tr>
    </w:tbl>
    <w:p>
      <w:pPr>
        <w:pStyle w:val="Heading2"/>
        <w:spacing w:after="100" w:before="260"/>
      </w:pPr>
      <w:r>
        <w:rPr>
          <w:rFonts w:ascii="Times New Roman" w:cs="Times New Roman" w:eastAsia="Times New Roman" w:hAnsi="Times New Roman"/>
          <w:b/>
          <w:bCs/>
          <w:color w:val="2E6B8A"/>
          <w:sz w:val="24"/>
          <w:szCs w:val="24"/>
        </w:rPr>
        <w:t xml:space="preserve">2.3  Indoor exposure — primary residence</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500"/>
        <w:gridCol w:w="1400"/>
        <w:gridCol w:w="4680"/>
        <w:gridCol w:w="1500"/>
      </w:tblGrid>
      <w:tr>
        <w:trPr>
          <w:tblHeader/>
        </w:trPr>
        <w:tc>
          <w:tcPr>
            <w:tcW w:type="dxa" w:w="25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1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46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it gives the IEI</w:t>
            </w:r>
          </w:p>
        </w:tc>
        <w:tc>
          <w:tcPr>
            <w:tcW w:type="dxa" w:w="15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Model term</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cook_fuel</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Electric / natural gas / other — identifies gas combustion households</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exhaust_fan_use</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dropdown</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Range-hood use when cooking, five levels including "no fan"</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bathroom_exhaust_fan</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Presence and habitual use of bathroom ventilation</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ac_type</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Central / window or wall / portable / none</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heating_type</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Central forced air / baseboard / space heaters / none</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 C_source</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smoking_in_home</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Any indoor smoking</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cigarettes_per_day_home</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 (int)</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Intensity of indoor smoking — a genuine dose term, not just a flag</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smoking_in_car</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dropdown</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In-vehicle tobacco exposure, five levels</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 (transit)</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visible_mold_baseline</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Graded by area: none / small / medium / large / not sure</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Biological</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damp_spots_baseline</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Damp spots or water stains</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Biological</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water_leaks_year_baseline</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Water leaks or damage in the past year</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Biological</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pets_in_home, pet_type</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 checkbox</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Dog / cat / bird / rodent / reptile / other</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Allergen</w:t>
            </w:r>
          </w:p>
        </w:tc>
      </w:tr>
      <w:tr>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num_residents, num_bedrooms</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 (int)</w:t>
            </w:r>
          </w:p>
        </w:tc>
        <w:tc>
          <w:tcPr>
            <w:tcW w:type="dxa" w:w="4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Occupant density — a crowding proxy for indoor generation</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w:t>
            </w:r>
          </w:p>
        </w:tc>
      </w:tr>
      <w:tr>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housing_tenure, household_income</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 dropdown</w:t>
            </w:r>
          </w:p>
        </w:tc>
        <w:tc>
          <w:tcPr>
            <w:tcW w:type="dxa" w:w="4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Tenure and income — covariates and housing-quality proxies</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Covariate</w:t>
            </w:r>
          </w:p>
        </w:tc>
      </w:tr>
    </w:tbl>
    <w:p>
      <w:pPr>
        <w:pStyle w:val="Heading2"/>
        <w:spacing w:after="100" w:before="260"/>
      </w:pPr>
      <w:r>
        <w:rPr>
          <w:rFonts w:ascii="Times New Roman" w:cs="Times New Roman" w:eastAsia="Times New Roman" w:hAnsi="Times New Roman"/>
          <w:b/>
          <w:bCs/>
          <w:color w:val="2E6B8A"/>
          <w:sz w:val="24"/>
          <w:szCs w:val="24"/>
        </w:rPr>
        <w:t xml:space="preserve">2.4  Indoor exposure — secondary residence and address changes</w:t>
      </w:r>
    </w:p>
    <w:p>
      <w:pPr>
        <w:spacing w:after="120" w:before="0" w:line="276"/>
      </w:pPr>
      <w:r>
        <w:rPr>
          <w:rFonts w:ascii="Times New Roman" w:cs="Times New Roman" w:eastAsia="Times New Roman" w:hAnsi="Times New Roman"/>
          <w:sz w:val="22"/>
          <w:szCs w:val="22"/>
        </w:rPr>
        <w:t xml:space="preserve">The secondary_household_details instrument mirrors §2.3 exactly under the </w:t>
      </w:r>
      <w:r>
        <w:rPr>
          <w:rFonts w:ascii="Consolas" w:cs="Consolas" w:eastAsia="Consolas" w:hAnsi="Consolas"/>
          <w:sz w:val="20"/>
          <w:szCs w:val="20"/>
        </w:rPr>
        <w:t xml:space="preserve">sec_</w:t>
      </w:r>
      <w:r>
        <w:rPr>
          <w:rFonts w:ascii="Times New Roman" w:cs="Times New Roman" w:eastAsia="Times New Roman" w:hAnsi="Times New Roman"/>
          <w:sz w:val="22"/>
          <w:szCs w:val="22"/>
        </w:rPr>
        <w:t xml:space="preserve"> prefix (sec_cook_fuel, sec_ac_type, sec_smoking_in_home, sec_visible_mold_baseline, and so on), and change_of_address mirrors it again under </w:t>
      </w:r>
      <w:r>
        <w:rPr>
          <w:rFonts w:ascii="Consolas" w:cs="Consolas" w:eastAsia="Consolas" w:hAnsi="Consolas"/>
          <w:sz w:val="20"/>
          <w:szCs w:val="20"/>
        </w:rPr>
        <w:t xml:space="preserve">addr_</w:t>
      </w:r>
      <w:r>
        <w:rPr>
          <w:rFonts w:ascii="Times New Roman" w:cs="Times New Roman" w:eastAsia="Times New Roman" w:hAnsi="Times New Roman"/>
          <w:sz w:val="22"/>
          <w:szCs w:val="22"/>
        </w:rPr>
        <w:t xml:space="preserve">. Any indoor-source term the model computes for the primary home can therefore be computed identically for the secondary home and re-computed after a move, with no new fields.</w:t>
      </w:r>
    </w:p>
    <w:p>
      <w:pPr>
        <w:pStyle w:val="Heading2"/>
        <w:spacing w:after="100" w:before="260"/>
      </w:pPr>
      <w:r>
        <w:rPr>
          <w:rFonts w:ascii="Times New Roman" w:cs="Times New Roman" w:eastAsia="Times New Roman" w:hAnsi="Times New Roman"/>
          <w:b/>
          <w:bCs/>
          <w:color w:val="2E6B8A"/>
          <w:sz w:val="24"/>
          <w:szCs w:val="24"/>
        </w:rPr>
        <w:t xml:space="preserve">2.5  Repeated monthly measures (18 follow-up events)</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900"/>
        <w:gridCol w:w="1500"/>
        <w:gridCol w:w="5680"/>
      </w:tblGrid>
      <w:tr>
        <w:trPr>
          <w:tblHeader/>
        </w:trPr>
        <w:tc>
          <w:tcPr>
            <w:tcW w:type="dxa" w:w="2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15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56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Role</w:t>
            </w:r>
          </w:p>
        </w:tc>
      </w:tr>
      <w:tr>
        <w:tc>
          <w:tcPr>
            <w:tcW w:type="dxa" w:w="2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visible_mold, fu_damp_spots, water_damage</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dropdown / radio</w:t>
            </w:r>
          </w:p>
        </w:tc>
        <w:tc>
          <w:tcPr>
            <w:tcW w:type="dxa" w:w="5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Time-varying indoor biological exposure — lets the indoor source term change over follow-up rather than being fixed at baseline</w:t>
            </w:r>
          </w:p>
        </w:tc>
      </w:tr>
      <w:tr>
        <w:tc>
          <w:tcPr>
            <w:tcW w:type="dxa" w:w="2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cact_q1 … cact_q7, cact_score</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 calc</w:t>
            </w:r>
          </w:p>
        </w:tc>
        <w:tc>
          <w:tcPr>
            <w:tcW w:type="dxa" w:w="5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Childhood Asthma Control Test items and total score (0–27) — outcome (b)</w:t>
            </w:r>
          </w:p>
        </w:tc>
      </w:tr>
      <w:tr>
        <w:tc>
          <w:tcPr>
            <w:tcW w:type="dxa" w:w="2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fu_wheezing, fu_wheezing_freq</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 dropdown</w:t>
            </w:r>
          </w:p>
        </w:tc>
        <w:tc>
          <w:tcPr>
            <w:tcW w:type="dxa" w:w="5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Wheezing occurrence and attack count — outcome (a) and the input to trajectory modelling</w:t>
            </w:r>
          </w:p>
        </w:tc>
      </w:tr>
      <w:tr>
        <w:tc>
          <w:tcPr>
            <w:tcW w:type="dxa" w:w="2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fu_sleep_disturb, fu_speech_limit, fu_exercise_wheezing, fu_dry_cough, fu_wheeze_with_cold, fu_wheeze_between_colds, fu_chest_infection</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5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ISAAC-style symptom battery — phenotype definition for the GBTM analysis</w:t>
            </w:r>
          </w:p>
        </w:tc>
      </w:tr>
      <w:tr>
        <w:tc>
          <w:tcPr>
            <w:tcW w:type="dxa" w:w="2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fu_healthcare_visit, fu_healthcare_date, fu_healthcare_reason</w:t>
            </w:r>
          </w:p>
        </w:tc>
        <w:tc>
          <w:tcPr>
            <w:tcW w:type="dxa" w:w="1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 text</w:t>
            </w:r>
          </w:p>
        </w:tc>
        <w:tc>
          <w:tcPr>
            <w:tcW w:type="dxa" w:w="56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Healthcare utilisation — exacerbation confirmation against EHR</w:t>
            </w:r>
          </w:p>
        </w:tc>
      </w:tr>
      <w:tr>
        <w:tc>
          <w:tcPr>
            <w:tcW w:type="dxa" w:w="2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fu_asthma_meds_types and specifiers</w:t>
            </w:r>
          </w:p>
        </w:tc>
        <w:tc>
          <w:tcPr>
            <w:tcW w:type="dxa" w:w="1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 text</w:t>
            </w:r>
          </w:p>
        </w:tc>
        <w:tc>
          <w:tcPr>
            <w:tcW w:type="dxa" w:w="56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Controller and reliever use — confounder and severity marker</w:t>
            </w:r>
          </w:p>
        </w:tc>
      </w:tr>
    </w:tbl>
    <w:p>
      <w:pPr>
        <w:pStyle w:val="Heading2"/>
        <w:spacing w:after="100" w:before="260"/>
      </w:pPr>
      <w:r>
        <w:rPr>
          <w:rFonts w:ascii="Times New Roman" w:cs="Times New Roman" w:eastAsia="Times New Roman" w:hAnsi="Times New Roman"/>
          <w:b/>
          <w:bCs/>
          <w:color w:val="2E6B8A"/>
          <w:sz w:val="24"/>
          <w:szCs w:val="24"/>
        </w:rPr>
        <w:t xml:space="preserve">2.6  Covariates already available for the adjusted models</w:t>
      </w:r>
    </w:p>
    <w:p>
      <w:pPr>
        <w:spacing w:after="120" w:before="0" w:line="276"/>
      </w:pPr>
      <w:r>
        <w:rPr>
          <w:rFonts w:ascii="Times New Roman" w:cs="Times New Roman" w:eastAsia="Times New Roman" w:hAnsi="Times New Roman"/>
          <w:sz w:val="22"/>
          <w:szCs w:val="22"/>
        </w:rPr>
        <w:t xml:space="preserve">household_income, m_edu, f_edu, housing_tenure, housing_instability, primary_food_worry / primary_food_insufficient, ethnicity, hisp_origin, age_at_enrollment, birth_season, maternal_smoking_trimester_matrix, paternal_smoking_trimester_matrix, delivery_mode, nicu_days, maternal_farm_pregnancy, infant_farm_firstyear. The full adjustment set specified in the proposal — income, parental education, insurance, housing tenure, food insecurity — is present with no additions required.</w:t>
      </w:r>
    </w:p>
    <w:p>
      <w:pPr>
        <w:spacing w:after="20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3.  Reconciliation of the August 31 draft supplement</w:t>
      </w:r>
    </w:p>
    <w:p>
      <w:pPr>
        <w:spacing w:after="120" w:before="0" w:line="276"/>
      </w:pPr>
      <w:r>
        <w:rPr>
          <w:rFonts w:ascii="Times New Roman" w:cs="Times New Roman" w:eastAsia="Times New Roman" w:hAnsi="Times New Roman"/>
          <w:sz w:val="22"/>
          <w:szCs w:val="22"/>
        </w:rPr>
        <w:t xml:space="preserve">The draft contains 75 data-dictionary rows: 61 participant-facing items, 8 calculated fields and 6 descriptive headers. Each participant-facing item was checked against the production dictionary and against publicly available records. The verdicts below account for all 61.</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3080"/>
        <w:gridCol w:w="460"/>
        <w:gridCol w:w="1200"/>
        <w:gridCol w:w="5340"/>
      </w:tblGrid>
      <w:tr>
        <w:trPr>
          <w:tblHeader/>
        </w:trPr>
        <w:tc>
          <w:tcPr>
            <w:tcW w:type="dxa" w:w="30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Drafted item(s)</w:t>
            </w:r>
          </w:p>
        </w:tc>
        <w:tc>
          <w:tcPr>
            <w:tcW w:type="dxa" w:w="46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n</w:t>
            </w:r>
          </w:p>
        </w:tc>
        <w:tc>
          <w:tcPr>
            <w:tcW w:type="dxa" w:w="12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Verdict</w:t>
            </w:r>
          </w:p>
        </w:tc>
        <w:tc>
          <w:tcPr>
            <w:tcW w:type="dxa" w:w="534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Already covered by, or replaced with</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ta_sec_address, ta_sec_city, ta_sec_zip</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sec_street_address, sec_city, sec_zip_code — live, and already flagged Identifier = Y</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ta_school_address, ta_school_city, ta_school_zip</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school_address + school_lat / school_lon, populated via API import from school_name</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ta_school_name</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school_name and daycare_current_name</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ta_school_attend</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school_attendance (5 levels) and daycare_attend (4 levels)</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ta_multi_residence</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multi_household_custody</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ta_nights_primary, ta_nights_secondary</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primary_home_pct and secondary_home_pct_calc</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ta_ac_type</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ac_type</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ta_stove_fuel</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cook_fuel</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ta_hood</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exhaust_fan_use</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ta_smoke_indoor</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smoking_in_home, with intensity in cigarettes_per_day_home</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ta_smoke_vehicle</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smoking_in_car</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ta_damp</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visible_mold_baseline, damp_spots_baseline, water_leaks_year_baseline — plus monthly repeats</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ta_sec_ac, ta_sec_stove, ta_sec_smoke</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sec_ac_type, sec_cook_fuel, sec_smoking_in_home</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ta_school_mode</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transportation_means</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ta_school_changed</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91C1C"/>
                <w:sz w:val="18"/>
                <w:szCs w:val="18"/>
              </w:rPr>
              <w:t xml:space="preserve">Duplicate</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change_of_address instrument; school_name is re-captured on update</w:t>
            </w:r>
          </w:p>
        </w:tc>
      </w:tr>
      <w:tr>
        <w:tc>
          <w:tcPr>
            <w:tcW w:type="dxa" w:w="3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Duplicate subtotal</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22</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36% of the draft is already in production</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ta_school_start, ta_school_end, ta_school_days</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2E6B8A"/>
                <w:sz w:val="18"/>
                <w:szCs w:val="18"/>
              </w:rPr>
              <w:t xml:space="preserve">External</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bell schedules and TEA instructional calendars (§4.1)</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ta_home_type, ta_home_age</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2E6B8A"/>
                <w:sz w:val="18"/>
                <w:szCs w:val="18"/>
              </w:rPr>
              <w:t xml:space="preserve">External</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County appraisal district property records (§4.4)</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ta_road</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2E6B8A"/>
                <w:sz w:val="18"/>
                <w:szCs w:val="18"/>
              </w:rPr>
              <w:t xml:space="preserve">External</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TxDOT roadway inventory and AADT counts (§4.5)</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ta_industry</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2E6B8A"/>
                <w:sz w:val="18"/>
                <w:szCs w:val="18"/>
              </w:rPr>
              <w:t xml:space="preserve">External</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EPA FRS / TRI and TCEQ Central Registry (§4.6)</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ta_period, ta_period_start</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2E6B8A"/>
                <w:sz w:val="18"/>
                <w:szCs w:val="18"/>
              </w:rPr>
              <w:t xml:space="preserve">External</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REDCap survey timestamp against the district academic calendar (§4.8)</w:t>
            </w:r>
          </w:p>
        </w:tc>
      </w:tr>
      <w:tr>
        <w:tc>
          <w:tcPr>
            <w:tcW w:type="dxa" w:w="3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External subtotal</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9</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Obtainable from public records at higher accuracy</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ta_aqi_check, ta_aqi_action</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Avoidance behaviour is a mediator between exposure and outcome, not an input to exposure</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ta_sports, ta_sports_hrs, ta_sports_time</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Absorbed into a single outdoor-timing item</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ta_hvac_filter</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Weak and poorly recalled predictor of F_inf next to windows and AC use</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ta_candles</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Minor source with no validated weighting in the literature</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ta_vape_indoor</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Captured instead by a two-word label amendment to smoking_in_home (§5.3)</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ta_purifier_room</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Room-level placement is below the resolution of a single-zone mass-balance model</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ta_vehicle_window</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Second-order variation within an already small transit term</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ta_notes</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Free text with no analytic role</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ta_survey_date</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666666"/>
                <w:sz w:val="18"/>
                <w:szCs w:val="18"/>
              </w:rPr>
              <w:t xml:space="preserve">Dropped</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REDCap records a survey timestamp automatically</w:t>
            </w:r>
          </w:p>
        </w:tc>
      </w:tr>
      <w:tr>
        <w:tc>
          <w:tcPr>
            <w:tcW w:type="dxa" w:w="3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Dropped subtotal</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12</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Deliberate scope reduction — see §6 for what this costs</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ta_wd_* and ta_we_* hour grid</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12</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B45309"/>
                <w:sz w:val="18"/>
                <w:szCs w:val="18"/>
              </w:rPr>
              <w:t xml:space="preserve">Compressed</w:t>
            </w:r>
          </w:p>
        </w:tc>
        <w:tc>
          <w:tcPr>
            <w:tcW w:type="dxa" w:w="5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Replaced by 3 banded items plus a residual (§4.9) — the single largest saving</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ta_out_time</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Retained</w:t>
            </w:r>
          </w:p>
        </w:tc>
        <w:tc>
          <w:tcPr>
            <w:tcW w:type="dxa" w:w="534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Becomes iei_out_when</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ta_windows</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Retained</w:t>
            </w:r>
          </w:p>
        </w:tc>
        <w:tc>
          <w:tcPr>
            <w:tcW w:type="dxa" w:w="5340"/>
            <w:tcMar>
              <w:top w:type="dxa" w:w="70"/>
              <w:left w:type="dxa" w:w="110"/>
              <w:bottom w:type="dxa" w:w="70"/>
              <w:right w:type="dxa" w:w="110"/>
            </w:tcMar>
          </w:tcPr>
          <w:p>
            <w:pPr>
              <w:spacing w:after="0" w:before="0" w:line="240"/>
            </w:pPr>
            <w:r>
              <w:rPr>
                <w:rFonts w:ascii="Consolas" w:cs="Consolas" w:eastAsia="Consolas" w:hAnsi="Consolas"/>
                <w:sz w:val="18"/>
                <w:szCs w:val="18"/>
              </w:rPr>
              <w:t xml:space="preserve">Becomes iei_windows</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ta_ac_use</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Retained</w:t>
            </w:r>
          </w:p>
        </w:tc>
        <w:tc>
          <w:tcPr>
            <w:tcW w:type="dxa" w:w="534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Becomes iei_ac_use</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ta_stove_freq</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Retained</w:t>
            </w:r>
          </w:p>
        </w:tc>
        <w:tc>
          <w:tcPr>
            <w:tcW w:type="dxa" w:w="5340"/>
            <w:tcMar>
              <w:top w:type="dxa" w:w="70"/>
              <w:left w:type="dxa" w:w="110"/>
              <w:bottom w:type="dxa" w:w="70"/>
              <w:right w:type="dxa" w:w="110"/>
            </w:tcMar>
          </w:tcPr>
          <w:p>
            <w:pPr>
              <w:spacing w:after="0" w:before="0" w:line="240"/>
            </w:pPr>
            <w:r>
              <w:rPr>
                <w:rFonts w:ascii="Consolas" w:cs="Consolas" w:eastAsia="Consolas" w:hAnsi="Consolas"/>
                <w:sz w:val="18"/>
                <w:szCs w:val="18"/>
              </w:rPr>
              <w:t xml:space="preserve">Becomes iei_stove_freq</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ta_purifier</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Retained</w:t>
            </w:r>
          </w:p>
        </w:tc>
        <w:tc>
          <w:tcPr>
            <w:tcW w:type="dxa" w:w="534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Becomes iei_purifier</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ta_sec_windows</w:t>
            </w:r>
          </w:p>
        </w:tc>
        <w:tc>
          <w:tcPr>
            <w:tcW w:type="dxa" w:w="46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b/>
                <w:bCs/>
                <w:color w:val="15803D"/>
                <w:sz w:val="18"/>
                <w:szCs w:val="18"/>
              </w:rPr>
              <w:t xml:space="preserve">Retained</w:t>
            </w:r>
          </w:p>
        </w:tc>
        <w:tc>
          <w:tcPr>
            <w:tcW w:type="dxa" w:w="5340"/>
            <w:tcMar>
              <w:top w:type="dxa" w:w="70"/>
              <w:left w:type="dxa" w:w="110"/>
              <w:bottom w:type="dxa" w:w="70"/>
              <w:right w:type="dxa" w:w="110"/>
            </w:tcMar>
          </w:tcPr>
          <w:p>
            <w:pPr>
              <w:spacing w:after="0" w:before="0" w:line="240"/>
            </w:pPr>
            <w:r>
              <w:rPr>
                <w:rFonts w:ascii="Consolas" w:cs="Consolas" w:eastAsia="Consolas" w:hAnsi="Consolas"/>
                <w:sz w:val="18"/>
                <w:szCs w:val="18"/>
              </w:rPr>
              <w:t xml:space="preserve">Becomes iei_sec_windows</w:t>
            </w:r>
          </w:p>
        </w:tc>
      </w:tr>
      <w:tr>
        <w:tc>
          <w:tcPr>
            <w:tcW w:type="dxa" w:w="3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Retained subtotal</w:t>
            </w:r>
          </w:p>
        </w:tc>
        <w:tc>
          <w:tcPr>
            <w:tcW w:type="dxa" w:w="46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18</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
            </w:r>
          </w:p>
        </w:tc>
        <w:tc>
          <w:tcPr>
            <w:tcW w:type="dxa" w:w="5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sz w:val="18"/>
                <w:szCs w:val="18"/>
              </w:rPr>
              <w:t xml:space="preserve">Compressed into 9 items; 1 further item added (iei_sec_ac_use) — 10 in total</w:t>
            </w:r>
          </w:p>
        </w:tc>
      </w:tr>
    </w:tbl>
    <w:p>
      <w:pPr>
        <w:spacing w:after="140"/>
      </w:pPr>
      <w:r>
        <w:t xml:space="preserve"/>
      </w:r>
    </w:p>
    <w:tbl>
      <w:tblPr>
        <w:tblW w:type="dxa" w:w="10080"/>
        <w:tblBorders>
          <w:top w:val="single" w:color="15803D" w:sz="4"/>
          <w:left w:val="single" w:color="15803D" w:sz="18"/>
          <w:bottom w:val="single" w:color="15803D" w:sz="4"/>
          <w:right w:val="single" w:color="15803D"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15803D"/>
                <w:sz w:val="21"/>
                <w:szCs w:val="21"/>
              </w:rPr>
              <w:t xml:space="preserve">Two numbers worth quoting in the meeting</w:t>
            </w:r>
          </w:p>
          <w:p>
            <w:pPr>
              <w:spacing w:after="70" w:before="0" w:line="276"/>
            </w:pPr>
            <w:r>
              <w:rPr>
                <w:rFonts w:ascii="Times New Roman" w:cs="Times New Roman" w:eastAsia="Times New Roman" w:hAnsi="Times New Roman"/>
                <w:b/>
                <w:bCs/>
                <w:color w:val="213C4E"/>
                <w:sz w:val="20"/>
                <w:szCs w:val="20"/>
              </w:rPr>
              <w:t xml:space="preserve">61 → 10.  </w:t>
            </w:r>
            <w:r>
              <w:rPr>
                <w:rFonts w:ascii="Times New Roman" w:cs="Times New Roman" w:eastAsia="Times New Roman" w:hAnsi="Times New Roman"/>
                <w:sz w:val="20"/>
                <w:szCs w:val="20"/>
              </w:rPr>
              <w:t xml:space="preserve">Participant-facing items, an 84% reduction. Total data-dictionary rows fall from 75 to 19.</w:t>
            </w:r>
          </w:p>
          <w:p>
            <w:pPr>
              <w:spacing w:after="0" w:before="0" w:line="276"/>
            </w:pPr>
            <w:r>
              <w:rPr>
                <w:rFonts w:ascii="Times New Roman" w:cs="Times New Roman" w:eastAsia="Times New Roman" w:hAnsi="Times New Roman"/>
                <w:b/>
                <w:bCs/>
                <w:color w:val="213C4E"/>
                <w:sz w:val="20"/>
                <w:szCs w:val="20"/>
              </w:rPr>
              <w:t xml:space="preserve">7 items, ~90 seconds.  </w:t>
            </w:r>
            <w:r>
              <w:rPr>
                <w:rFonts w:ascii="Times New Roman" w:cs="Times New Roman" w:eastAsia="Times New Roman" w:hAnsi="Times New Roman"/>
                <w:sz w:val="20"/>
                <w:szCs w:val="20"/>
              </w:rPr>
              <w:t xml:space="preserve">What the median participant actually sees once branching logic is applied. Only families with a second household see all 10.</w:t>
            </w:r>
          </w:p>
        </w:tc>
      </w:tr>
    </w:tbl>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4.  Answering the questions without asking them</w:t>
      </w:r>
    </w:p>
    <w:p>
      <w:pPr>
        <w:spacing w:after="120" w:before="0" w:line="276"/>
      </w:pPr>
      <w:r>
        <w:rPr>
          <w:rFonts w:ascii="Times New Roman" w:cs="Times New Roman" w:eastAsia="Times New Roman" w:hAnsi="Times New Roman"/>
          <w:sz w:val="22"/>
          <w:szCs w:val="22"/>
        </w:rPr>
        <w:t xml:space="preserve">Nine drafted items describe facts about the world rather than facts only a parent knows. Each is available from a public source, at better accuracy than parental recall, at the cost of one-time staff effort rather than recurring participant burden.</w:t>
      </w:r>
    </w:p>
    <w:p>
      <w:pPr>
        <w:pStyle w:val="Heading3"/>
        <w:spacing w:after="80" w:before="200"/>
      </w:pPr>
      <w:r>
        <w:rPr>
          <w:rFonts w:ascii="Times New Roman" w:cs="Times New Roman" w:eastAsia="Times New Roman" w:hAnsi="Times New Roman"/>
          <w:b/>
          <w:bCs/>
          <w:color w:val="213C4E"/>
          <w:sz w:val="22"/>
          <w:szCs w:val="22"/>
        </w:rPr>
        <w:t xml:space="preserve">4.1  School start and end times, and days per week</w:t>
      </w:r>
    </w:p>
    <w:p>
      <w:pPr>
        <w:spacing w:after="120" w:before="0" w:line="276"/>
      </w:pPr>
      <w:r>
        <w:rPr>
          <w:rFonts w:ascii="Times New Roman" w:cs="Times New Roman" w:eastAsia="Times New Roman" w:hAnsi="Times New Roman"/>
          <w:sz w:val="22"/>
          <w:szCs w:val="22"/>
        </w:rPr>
        <w:t xml:space="preserve">Every Texas district posts its bell schedule and its board-adopted instructional calendar; the Texas Education Agency requires the calendar to be public. The districts serving this cohort are a short list — Corpus Christi ISD, Flour Bluff ISD, Tuloso-Midway ISD, Calallen ISD, West Oso ISD, London ISD, Robstown ISD and Gregory-Portland ISD — so a campus-level lookup table keyed on school_name is a single afternoon of work and then a maintained asset. It also captures early-release days, staff development days and holidays that no parent would think to report.</w:t>
      </w:r>
    </w:p>
    <w:p>
      <w:pPr>
        <w:pStyle w:val="Heading3"/>
        <w:spacing w:after="80" w:before="200"/>
      </w:pPr>
      <w:r>
        <w:rPr>
          <w:rFonts w:ascii="Times New Roman" w:cs="Times New Roman" w:eastAsia="Times New Roman" w:hAnsi="Times New Roman"/>
          <w:b/>
          <w:bCs/>
          <w:color w:val="213C4E"/>
          <w:sz w:val="22"/>
          <w:szCs w:val="22"/>
        </w:rPr>
        <w:t xml:space="preserve">4.2  School and childcare addresses and coordinates</w:t>
      </w:r>
    </w:p>
    <w:p>
      <w:pPr>
        <w:spacing w:after="120" w:before="0" w:line="276"/>
      </w:pPr>
      <w:r>
        <w:rPr>
          <w:rFonts w:ascii="Times New Roman" w:cs="Times New Roman" w:eastAsia="Times New Roman" w:hAnsi="Times New Roman"/>
          <w:sz w:val="22"/>
          <w:szCs w:val="22"/>
        </w:rPr>
        <w:t xml:space="preserve">Already handled: the NCES Common Core of Data gives address, coordinates, grade span and enrolment for every public school, and the Private School Universe Survey covers the rest. This is the basis of the existing API import into school_address / school_lat / school_lon.</w:t>
      </w:r>
    </w:p>
    <w:p>
      <w:pPr>
        <w:pStyle w:val="Heading3"/>
        <w:spacing w:after="80" w:before="200"/>
      </w:pPr>
      <w:r>
        <w:rPr>
          <w:rFonts w:ascii="Times New Roman" w:cs="Times New Roman" w:eastAsia="Times New Roman" w:hAnsi="Times New Roman"/>
          <w:b/>
          <w:bCs/>
          <w:color w:val="213C4E"/>
          <w:sz w:val="22"/>
          <w:szCs w:val="22"/>
        </w:rPr>
        <w:t xml:space="preserve">4.3  Licensed childcare hours</w:t>
      </w:r>
    </w:p>
    <w:p>
      <w:pPr>
        <w:spacing w:after="120" w:before="0" w:line="276"/>
      </w:pPr>
      <w:r>
        <w:rPr>
          <w:rFonts w:ascii="Times New Roman" w:cs="Times New Roman" w:eastAsia="Times New Roman" w:hAnsi="Times New Roman"/>
          <w:sz w:val="22"/>
          <w:szCs w:val="22"/>
        </w:rPr>
        <w:t xml:space="preserve">Texas Health and Human Services Child Care Regulation publishes a searchable record for every licensed operation, including its address and licensed hours of operation.</w:t>
      </w:r>
    </w:p>
    <w:p>
      <w:pPr>
        <w:pStyle w:val="Heading3"/>
        <w:spacing w:after="80" w:before="200"/>
      </w:pPr>
      <w:r>
        <w:rPr>
          <w:rFonts w:ascii="Times New Roman" w:cs="Times New Roman" w:eastAsia="Times New Roman" w:hAnsi="Times New Roman"/>
          <w:b/>
          <w:bCs/>
          <w:color w:val="213C4E"/>
          <w:sz w:val="22"/>
          <w:szCs w:val="22"/>
        </w:rPr>
        <w:t xml:space="preserve">4.4  Home type, home age — and building volume</w:t>
      </w:r>
    </w:p>
    <w:p>
      <w:pPr>
        <w:spacing w:after="120" w:before="0" w:line="276"/>
      </w:pPr>
      <w:r>
        <w:rPr>
          <w:rFonts w:ascii="Times New Roman" w:cs="Times New Roman" w:eastAsia="Times New Roman" w:hAnsi="Times New Roman"/>
          <w:sz w:val="22"/>
          <w:szCs w:val="22"/>
        </w:rPr>
        <w:t xml:space="preserve">The Nueces County Appraisal District (and San Patricio CAD for Portland and Gregory addresses) publishes year built, property class and living area by address. This does more than replace two questions: living area gives building </w:t>
      </w:r>
      <w:r>
        <w:rPr>
          <w:rFonts w:ascii="Times New Roman" w:cs="Times New Roman" w:eastAsia="Times New Roman" w:hAnsi="Times New Roman"/>
          <w:i/>
          <w:iCs/>
          <w:sz w:val="22"/>
          <w:szCs w:val="22"/>
        </w:rPr>
        <w:t xml:space="preserve">volume</w:t>
      </w:r>
      <w:r>
        <w:rPr>
          <w:rFonts w:ascii="Times New Roman" w:cs="Times New Roman" w:eastAsia="Times New Roman" w:hAnsi="Times New Roman"/>
          <w:sz w:val="22"/>
          <w:szCs w:val="22"/>
        </w:rPr>
        <w:t xml:space="preserve">, which the mass-balance model needs for the source term and which the draft never asked for. A public record here is strictly better than the question it replaces.</w:t>
      </w:r>
    </w:p>
    <w:p>
      <w:pPr>
        <w:pStyle w:val="Heading3"/>
        <w:spacing w:after="80" w:before="200"/>
      </w:pPr>
      <w:r>
        <w:rPr>
          <w:rFonts w:ascii="Times New Roman" w:cs="Times New Roman" w:eastAsia="Times New Roman" w:hAnsi="Times New Roman"/>
          <w:b/>
          <w:bCs/>
          <w:color w:val="213C4E"/>
          <w:sz w:val="22"/>
          <w:szCs w:val="22"/>
        </w:rPr>
        <w:t xml:space="preserve">4.5  Distance to a major road, and how busy that road is</w:t>
      </w:r>
    </w:p>
    <w:p>
      <w:pPr>
        <w:spacing w:after="120" w:before="0" w:line="276"/>
      </w:pPr>
      <w:r>
        <w:rPr>
          <w:rFonts w:ascii="Times New Roman" w:cs="Times New Roman" w:eastAsia="Times New Roman" w:hAnsi="Times New Roman"/>
          <w:sz w:val="22"/>
          <w:szCs w:val="22"/>
        </w:rPr>
        <w:t xml:space="preserve">The TxDOT Roadway Inventory and its annual average daily traffic counts turn a five-level parental guess into a continuous distance in metres plus the traffic volume on the nearest arterial. Traffic volume is the variable that actually drives near-road gradients; the draft question could not have captured it.</w:t>
      </w:r>
    </w:p>
    <w:p>
      <w:pPr>
        <w:pStyle w:val="Heading3"/>
        <w:spacing w:after="80" w:before="200"/>
      </w:pPr>
      <w:r>
        <w:rPr>
          <w:rFonts w:ascii="Times New Roman" w:cs="Times New Roman" w:eastAsia="Times New Roman" w:hAnsi="Times New Roman"/>
          <w:b/>
          <w:bCs/>
          <w:color w:val="213C4E"/>
          <w:sz w:val="22"/>
          <w:szCs w:val="22"/>
        </w:rPr>
        <w:t xml:space="preserve">4.6  Distance to industrial facilities</w:t>
      </w:r>
    </w:p>
    <w:p>
      <w:pPr>
        <w:spacing w:after="120" w:before="0" w:line="276"/>
      </w:pPr>
      <w:r>
        <w:rPr>
          <w:rFonts w:ascii="Times New Roman" w:cs="Times New Roman" w:eastAsia="Times New Roman" w:hAnsi="Times New Roman"/>
          <w:sz w:val="22"/>
          <w:szCs w:val="22"/>
        </w:rPr>
        <w:t xml:space="preserve">The EPA Facility Registry Service, the Toxics Release Inventory and the TCEQ Central Registry give coordinates, permits and reported releases for every regulated facility in the Coastal Bend. Given that this is a refinery and port community, a validated facility distance matters more here than almost anywhere else — and it is a computation, not a question.</w:t>
      </w:r>
    </w:p>
    <w:p>
      <w:pPr>
        <w:pStyle w:val="Heading3"/>
        <w:spacing w:after="80" w:before="200"/>
      </w:pPr>
      <w:r>
        <w:rPr>
          <w:rFonts w:ascii="Times New Roman" w:cs="Times New Roman" w:eastAsia="Times New Roman" w:hAnsi="Times New Roman"/>
          <w:b/>
          <w:bCs/>
          <w:color w:val="213C4E"/>
          <w:sz w:val="22"/>
          <w:szCs w:val="22"/>
        </w:rPr>
        <w:t xml:space="preserve">4.7  Seasonal air-conditioning assumptions</w:t>
      </w:r>
    </w:p>
    <w:p>
      <w:pPr>
        <w:spacing w:after="120" w:before="0" w:line="276"/>
      </w:pPr>
      <w:r>
        <w:rPr>
          <w:rFonts w:ascii="Times New Roman" w:cs="Times New Roman" w:eastAsia="Times New Roman" w:hAnsi="Times New Roman"/>
          <w:sz w:val="22"/>
          <w:szCs w:val="22"/>
        </w:rPr>
        <w:t xml:space="preserve">Daily temperature and humidity from the NOAA station at Corpus Christi International Airport (KCRP) establish the cooling season directly. The behavioural question about how hard the AC runs is asked once (§5); when it runs across the year is modelled, not surveyed. The same climate series is required for infiltration modelling regardless.</w:t>
      </w:r>
    </w:p>
    <w:p>
      <w:pPr>
        <w:pStyle w:val="Heading3"/>
        <w:spacing w:after="80" w:before="200"/>
      </w:pPr>
      <w:r>
        <w:rPr>
          <w:rFonts w:ascii="Times New Roman" w:cs="Times New Roman" w:eastAsia="Times New Roman" w:hAnsi="Times New Roman"/>
          <w:b/>
          <w:bCs/>
          <w:color w:val="213C4E"/>
          <w:sz w:val="22"/>
          <w:szCs w:val="22"/>
        </w:rPr>
        <w:t xml:space="preserve">4.8  School year versus summer schedule</w:t>
      </w:r>
    </w:p>
    <w:p>
      <w:pPr>
        <w:spacing w:after="120" w:before="0" w:line="276"/>
      </w:pPr>
      <w:r>
        <w:rPr>
          <w:rFonts w:ascii="Times New Roman" w:cs="Times New Roman" w:eastAsia="Times New Roman" w:hAnsi="Times New Roman"/>
          <w:sz w:val="22"/>
          <w:szCs w:val="22"/>
        </w:rPr>
        <w:t xml:space="preserve">The draft asked which schedule the parent was describing. With 18 monthly follow-up events, the REDCap survey timestamp compared against the district academic calendar answers this exactly, for every response, forever, at zero burden.</w:t>
      </w:r>
    </w:p>
    <w:p>
      <w:pPr>
        <w:pStyle w:val="Heading3"/>
        <w:spacing w:after="80" w:before="200"/>
      </w:pPr>
      <w:r>
        <w:rPr>
          <w:rFonts w:ascii="Times New Roman" w:cs="Times New Roman" w:eastAsia="Times New Roman" w:hAnsi="Times New Roman"/>
          <w:b/>
          <w:bCs/>
          <w:color w:val="213C4E"/>
          <w:sz w:val="22"/>
          <w:szCs w:val="22"/>
        </w:rPr>
        <w:t xml:space="preserve">4.9  Twelve hour-grid fields replaced by three bands and one subtraction</w:t>
      </w:r>
    </w:p>
    <w:p>
      <w:pPr>
        <w:spacing w:after="120" w:before="0" w:line="276"/>
      </w:pPr>
      <w:r>
        <w:rPr>
          <w:rFonts w:ascii="Times New Roman" w:cs="Times New Roman" w:eastAsia="Times New Roman" w:hAnsi="Times New Roman"/>
          <w:sz w:val="22"/>
          <w:szCs w:val="22"/>
        </w:rPr>
        <w:t xml:space="preserve">This is the largest single saving, and it is arithmetic rather than a data source. The draft asked parents to allocate a 24-hour day across seven microenvironments for a weekday and five for a weekend day, then validated that the totals were plausible. Parents estimate poorly against a fixed total, and the reconciliation generates avoidable queries. Instead:</w:t>
      </w:r>
    </w:p>
    <w:p>
      <w:pPr>
        <w:pStyle w:val="ListParagraph"/>
        <w:numPr>
          <w:ilvl w:val="0"/>
          <w:numId w:val="2"/>
        </w:numPr>
        <w:spacing w:after="70" w:line="276"/>
      </w:pPr>
      <w:r>
        <w:rPr>
          <w:rFonts w:ascii="Times New Roman" w:cs="Times New Roman" w:eastAsia="Times New Roman" w:hAnsi="Times New Roman"/>
          <w:sz w:val="22"/>
          <w:szCs w:val="22"/>
        </w:rPr>
        <w:t xml:space="preserve">Ask only what cannot be derived: hours outdoors on a typical school day, hours outdoors on a typical weekend day, and time per day in a vehicle — as banded categories, not free numeric entry.</w:t>
      </w:r>
    </w:p>
    <w:p>
      <w:pPr>
        <w:pStyle w:val="ListParagraph"/>
        <w:numPr>
          <w:ilvl w:val="0"/>
          <w:numId w:val="2"/>
        </w:numPr>
        <w:spacing w:after="70" w:line="276"/>
      </w:pPr>
      <w:r>
        <w:rPr>
          <w:rFonts w:ascii="Times New Roman" w:cs="Times New Roman" w:eastAsia="Times New Roman" w:hAnsi="Times New Roman"/>
          <w:sz w:val="22"/>
          <w:szCs w:val="22"/>
        </w:rPr>
        <w:t xml:space="preserve">Take school hours from the bell-schedule lookup (§4.1).</w:t>
      </w:r>
    </w:p>
    <w:p>
      <w:pPr>
        <w:pStyle w:val="ListParagraph"/>
        <w:numPr>
          <w:ilvl w:val="0"/>
          <w:numId w:val="2"/>
        </w:numPr>
        <w:spacing w:after="70" w:line="276"/>
      </w:pPr>
      <w:r>
        <w:rPr>
          <w:rFonts w:ascii="Times New Roman" w:cs="Times New Roman" w:eastAsia="Times New Roman" w:hAnsi="Times New Roman"/>
          <w:sz w:val="22"/>
          <w:szCs w:val="22"/>
        </w:rPr>
        <w:t xml:space="preserve">Compute time indoors at home as the residual: 1 − outdoor − transit − school.</w:t>
      </w:r>
    </w:p>
    <w:p>
      <w:pPr>
        <w:pStyle w:val="ListParagraph"/>
        <w:numPr>
          <w:ilvl w:val="0"/>
          <w:numId w:val="2"/>
        </w:numPr>
        <w:spacing w:after="70" w:line="276"/>
      </w:pPr>
      <w:r>
        <w:rPr>
          <w:rFonts w:ascii="Times New Roman" w:cs="Times New Roman" w:eastAsia="Times New Roman" w:hAnsi="Times New Roman"/>
          <w:sz w:val="22"/>
          <w:szCs w:val="22"/>
        </w:rPr>
        <w:t xml:space="preserve">Split that residual between the two homes using primary_home_pct, which is already collected.</w:t>
      </w:r>
    </w:p>
    <w:p>
      <w:pPr>
        <w:spacing w:after="120" w:before="0" w:line="276"/>
      </w:pPr>
      <w:r>
        <w:rPr>
          <w:rFonts w:ascii="Times New Roman" w:cs="Times New Roman" w:eastAsia="Times New Roman" w:hAnsi="Times New Roman"/>
          <w:sz w:val="22"/>
          <w:szCs w:val="22"/>
        </w:rPr>
        <w:t xml:space="preserve">Twelve error-prone numeric fields, two totals and a QC flag become three quick multiple-choice questions. Because banded responses cannot sum to anything implausible, the 24-hour reconciliation problem disappears rather than being validated — and banded time-activity recall is standard practice in exposure questionnaires (NHAPS and the EPA Consolidated Human Activity Database both use it).</w:t>
      </w:r>
    </w:p>
    <w:p>
      <w:pPr>
        <w:spacing w:after="120"/>
      </w:pPr>
      <w:r>
        <w:t xml:space="preserve"/>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3400"/>
        <w:gridCol w:w="4180"/>
        <w:gridCol w:w="2500"/>
      </w:tblGrid>
      <w:tr>
        <w:trPr>
          <w:tblHeader/>
        </w:trPr>
        <w:tc>
          <w:tcPr>
            <w:tcW w:type="dxa" w:w="3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Public source</w:t>
            </w:r>
          </w:p>
        </w:tc>
        <w:tc>
          <w:tcPr>
            <w:tcW w:type="dxa" w:w="41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Replaces</w:t>
            </w:r>
          </w:p>
        </w:tc>
        <w:tc>
          <w:tcPr>
            <w:tcW w:type="dxa" w:w="25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Access</w:t>
            </w:r>
          </w:p>
        </w:tc>
      </w:tr>
      <w:tr>
        <w:tc>
          <w:tcPr>
            <w:tcW w:type="dxa" w:w="3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bell schedules + TEA instructional calendars</w:t>
            </w:r>
          </w:p>
        </w:tc>
        <w:tc>
          <w:tcPr>
            <w:tcW w:type="dxa" w:w="41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ta_school_start, ta_school_end, ta_school_days, ta_period</w:t>
            </w:r>
          </w:p>
        </w:tc>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websites; free</w:t>
            </w:r>
          </w:p>
        </w:tc>
      </w:tr>
      <w:tr>
        <w:tc>
          <w:tcPr>
            <w:tcW w:type="dxa" w:w="3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NCES Common Core of Data; Private School Universe Survey</w:t>
            </w:r>
          </w:p>
        </w:tc>
        <w:tc>
          <w:tcPr>
            <w:tcW w:type="dxa" w:w="41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 address and coordinates</w:t>
            </w:r>
          </w:p>
        </w:tc>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Bulk download / API; free</w:t>
            </w:r>
          </w:p>
        </w:tc>
      </w:tr>
      <w:tr>
        <w:tc>
          <w:tcPr>
            <w:tcW w:type="dxa" w:w="3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Texas HHS Child Care Regulation search</w:t>
            </w:r>
          </w:p>
        </w:tc>
        <w:tc>
          <w:tcPr>
            <w:tcW w:type="dxa" w:w="41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Childcare address and licensed hours</w:t>
            </w:r>
          </w:p>
        </w:tc>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Public search portal; free</w:t>
            </w:r>
          </w:p>
        </w:tc>
      </w:tr>
      <w:tr>
        <w:tc>
          <w:tcPr>
            <w:tcW w:type="dxa" w:w="3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Nueces &amp; San Patricio County Appraisal Districts</w:t>
            </w:r>
          </w:p>
        </w:tc>
        <w:tc>
          <w:tcPr>
            <w:tcW w:type="dxa" w:w="41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ta_home_type, ta_home_age; adds living area</w:t>
            </w:r>
          </w:p>
        </w:tc>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Property search by address; free</w:t>
            </w:r>
          </w:p>
        </w:tc>
      </w:tr>
      <w:tr>
        <w:tc>
          <w:tcPr>
            <w:tcW w:type="dxa" w:w="3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TxDOT Roadway Inventory + AADT</w:t>
            </w:r>
          </w:p>
        </w:tc>
        <w:tc>
          <w:tcPr>
            <w:tcW w:type="dxa" w:w="41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ta_road; adds traffic volume</w:t>
            </w:r>
          </w:p>
        </w:tc>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TxDOT open data / GIS; free</w:t>
            </w:r>
          </w:p>
        </w:tc>
      </w:tr>
      <w:tr>
        <w:tc>
          <w:tcPr>
            <w:tcW w:type="dxa" w:w="3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EPA FRS, TRI; TCEQ Central Registry</w:t>
            </w:r>
          </w:p>
        </w:tc>
        <w:tc>
          <w:tcPr>
            <w:tcW w:type="dxa" w:w="41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ta_industry</w:t>
            </w:r>
          </w:p>
        </w:tc>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Bulk download; free</w:t>
            </w:r>
          </w:p>
        </w:tc>
      </w:tr>
      <w:tr>
        <w:tc>
          <w:tcPr>
            <w:tcW w:type="dxa" w:w="3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NOAA NCEI — KCRP daily climate</w:t>
            </w:r>
          </w:p>
        </w:tc>
        <w:tc>
          <w:tcPr>
            <w:tcW w:type="dxa" w:w="41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Seasonal AC assumptions</w:t>
            </w:r>
          </w:p>
        </w:tc>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NCEI download; free</w:t>
            </w:r>
          </w:p>
        </w:tc>
      </w:tr>
      <w:tr>
        <w:tc>
          <w:tcPr>
            <w:tcW w:type="dxa" w:w="3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TCEQ / AirNow ozone action day archive</w:t>
            </w:r>
          </w:p>
        </w:tc>
        <w:tc>
          <w:tcPr>
            <w:tcW w:type="dxa" w:w="41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ta_aqi_check, ta_aqi_action (population level)</w:t>
            </w:r>
          </w:p>
        </w:tc>
        <w:tc>
          <w:tcPr>
            <w:tcW w:type="dxa" w:w="2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Public archive; free</w:t>
            </w:r>
          </w:p>
        </w:tc>
      </w:tr>
      <w:tr>
        <w:tc>
          <w:tcPr>
            <w:tcW w:type="dxa" w:w="3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REDCap survey timestamp</w:t>
            </w:r>
          </w:p>
        </w:tc>
        <w:tc>
          <w:tcPr>
            <w:tcW w:type="dxa" w:w="41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ta_survey_date, ta_period_start</w:t>
            </w:r>
          </w:p>
        </w:tc>
        <w:tc>
          <w:tcPr>
            <w:tcW w:type="dxa" w:w="2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Already captured</w:t>
            </w:r>
          </w:p>
        </w:tc>
      </w:tr>
    </w:tbl>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5.  The minimal addition set</w:t>
      </w:r>
    </w:p>
    <w:p>
      <w:pPr>
        <w:spacing w:after="120" w:before="0" w:line="276"/>
      </w:pPr>
      <w:r>
        <w:rPr>
          <w:rFonts w:ascii="Times New Roman" w:cs="Times New Roman" w:eastAsia="Times New Roman" w:hAnsi="Times New Roman"/>
          <w:sz w:val="22"/>
          <w:szCs w:val="22"/>
        </w:rPr>
        <w:t xml:space="preserve">One new instrument, </w:t>
      </w:r>
      <w:r>
        <w:rPr>
          <w:rFonts w:ascii="Consolas" w:cs="Consolas" w:eastAsia="Consolas" w:hAnsi="Consolas"/>
          <w:sz w:val="20"/>
          <w:szCs w:val="20"/>
        </w:rPr>
        <w:t xml:space="preserve">iei_supplement</w:t>
      </w:r>
      <w:r>
        <w:rPr>
          <w:rFonts w:ascii="Times New Roman" w:cs="Times New Roman" w:eastAsia="Times New Roman" w:hAnsi="Times New Roman"/>
          <w:sz w:val="22"/>
          <w:szCs w:val="22"/>
        </w:rPr>
        <w:t xml:space="preserve">, prefix </w:t>
      </w:r>
      <w:r>
        <w:rPr>
          <w:rFonts w:ascii="Consolas" w:cs="Consolas" w:eastAsia="Consolas" w:hAnsi="Consolas"/>
          <w:sz w:val="20"/>
          <w:szCs w:val="20"/>
        </w:rPr>
        <w:t xml:space="preserve">iei_</w:t>
      </w:r>
      <w:r>
        <w:rPr>
          <w:rFonts w:ascii="Times New Roman" w:cs="Times New Roman" w:eastAsia="Times New Roman" w:hAnsi="Times New Roman"/>
          <w:sz w:val="22"/>
          <w:szCs w:val="22"/>
        </w:rPr>
        <w:t xml:space="preserve">. Ten participant-facing items, two staff-curated fields, five calculated fields and two section headers — 19 data-dictionary rows against the draft's 75. The full form as a participant would see it, with every REDCap field type and branching condition, is in the companion document.</w:t>
      </w:r>
    </w:p>
    <w:p>
      <w:pPr>
        <w:pStyle w:val="Heading2"/>
        <w:spacing w:after="100" w:before="260"/>
      </w:pPr>
      <w:r>
        <w:rPr>
          <w:rFonts w:ascii="Times New Roman" w:cs="Times New Roman" w:eastAsia="Times New Roman" w:hAnsi="Times New Roman"/>
          <w:b/>
          <w:bCs/>
          <w:color w:val="2E6B8A"/>
          <w:sz w:val="24"/>
          <w:szCs w:val="24"/>
        </w:rPr>
        <w:t xml:space="preserve">5.1  Participant-facing items</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340"/>
        <w:gridCol w:w="1560"/>
        <w:gridCol w:w="900"/>
        <w:gridCol w:w="3900"/>
        <w:gridCol w:w="1780"/>
        <w:gridCol w:w="1600"/>
      </w:tblGrid>
      <w:tr>
        <w:trPr>
          <w:tblHeader/>
        </w:trPr>
        <w:tc>
          <w:tcPr>
            <w:tcW w:type="dxa" w:w="34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t>
            </w:r>
          </w:p>
        </w:tc>
        <w:tc>
          <w:tcPr>
            <w:tcW w:type="dxa" w:w="156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3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Item</w:t>
            </w:r>
          </w:p>
        </w:tc>
        <w:tc>
          <w:tcPr>
            <w:tcW w:type="dxa" w:w="17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Shown to</w:t>
            </w:r>
          </w:p>
        </w:tc>
        <w:tc>
          <w:tcPr>
            <w:tcW w:type="dxa" w:w="16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Model term</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56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iei_out_wd</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Hours outdoors on a typical school day (5 bands)</w:t>
            </w:r>
          </w:p>
        </w:tc>
        <w:tc>
          <w:tcPr>
            <w:tcW w:type="dxa" w:w="1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All</w:t>
            </w:r>
          </w:p>
        </w:tc>
        <w:tc>
          <w:tcPr>
            <w:tcW w:type="dxa" w:w="1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 — outdoor</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w:t>
            </w:r>
          </w:p>
        </w:tc>
        <w:tc>
          <w:tcPr>
            <w:tcW w:type="dxa" w:w="156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iei_out_we</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Hours outdoors on a typical weekend day (5 bands)</w:t>
            </w:r>
          </w:p>
        </w:tc>
        <w:tc>
          <w:tcPr>
            <w:tcW w:type="dxa" w:w="1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All</w:t>
            </w:r>
          </w:p>
        </w:tc>
        <w:tc>
          <w:tcPr>
            <w:tcW w:type="dxa" w:w="1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 — outdoor</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56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iei_out_when</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3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Times of day usually outdoors (4 windows)</w:t>
            </w:r>
          </w:p>
        </w:tc>
        <w:tc>
          <w:tcPr>
            <w:tcW w:type="dxa" w:w="1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Unless rarely outdoors</w:t>
            </w:r>
          </w:p>
        </w:tc>
        <w:tc>
          <w:tcPr>
            <w:tcW w:type="dxa" w:w="1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Diurnal O₃</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4</w:t>
            </w:r>
          </w:p>
        </w:tc>
        <w:tc>
          <w:tcPr>
            <w:tcW w:type="dxa" w:w="156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iei_transit</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 per day in a vehicle (5 bands)</w:t>
            </w:r>
          </w:p>
        </w:tc>
        <w:tc>
          <w:tcPr>
            <w:tcW w:type="dxa" w:w="1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All</w:t>
            </w:r>
          </w:p>
        </w:tc>
        <w:tc>
          <w:tcPr>
            <w:tcW w:type="dxa" w:w="1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 — transit</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5</w:t>
            </w:r>
          </w:p>
        </w:tc>
        <w:tc>
          <w:tcPr>
            <w:tcW w:type="dxa" w:w="156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iei_windows</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How often windows are open at home (4 levels)</w:t>
            </w:r>
          </w:p>
        </w:tc>
        <w:tc>
          <w:tcPr>
            <w:tcW w:type="dxa" w:w="1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All</w:t>
            </w:r>
          </w:p>
        </w:tc>
        <w:tc>
          <w:tcPr>
            <w:tcW w:type="dxa" w:w="1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6</w:t>
            </w:r>
          </w:p>
        </w:tc>
        <w:tc>
          <w:tcPr>
            <w:tcW w:type="dxa" w:w="156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iei_ac_use</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How hard cooling runs in warm months (4 levels)</w:t>
            </w:r>
          </w:p>
        </w:tc>
        <w:tc>
          <w:tcPr>
            <w:tcW w:type="dxa" w:w="1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Unless ac_type = none</w:t>
            </w:r>
          </w:p>
        </w:tc>
        <w:tc>
          <w:tcPr>
            <w:tcW w:type="dxa" w:w="1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7</w:t>
            </w:r>
          </w:p>
        </w:tc>
        <w:tc>
          <w:tcPr>
            <w:tcW w:type="dxa" w:w="156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iei_stove_freq</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How often the stove or oven is used (4 levels)</w:t>
            </w:r>
          </w:p>
        </w:tc>
        <w:tc>
          <w:tcPr>
            <w:tcW w:type="dxa" w:w="1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Gas households only</w:t>
            </w:r>
          </w:p>
        </w:tc>
        <w:tc>
          <w:tcPr>
            <w:tcW w:type="dxa" w:w="1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 (NO₂)</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8</w:t>
            </w:r>
          </w:p>
        </w:tc>
        <w:tc>
          <w:tcPr>
            <w:tcW w:type="dxa" w:w="156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iei_purifier</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yesno</w:t>
            </w:r>
          </w:p>
        </w:tc>
        <w:tc>
          <w:tcPr>
            <w:tcW w:type="dxa" w:w="3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Air purifier or air cleaner in use</w:t>
            </w:r>
          </w:p>
        </w:tc>
        <w:tc>
          <w:tcPr>
            <w:tcW w:type="dxa" w:w="1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All</w:t>
            </w:r>
          </w:p>
        </w:tc>
        <w:tc>
          <w:tcPr>
            <w:tcW w:type="dxa" w:w="1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C_source removal</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9</w:t>
            </w:r>
          </w:p>
        </w:tc>
        <w:tc>
          <w:tcPr>
            <w:tcW w:type="dxa" w:w="156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iei_sec_windows</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Window opening at the second home</w:t>
            </w:r>
          </w:p>
        </w:tc>
        <w:tc>
          <w:tcPr>
            <w:tcW w:type="dxa" w:w="1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Two-household families</w:t>
            </w:r>
          </w:p>
        </w:tc>
        <w:tc>
          <w:tcPr>
            <w:tcW w:type="dxa" w:w="1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 (secondary)</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10</w:t>
            </w:r>
          </w:p>
        </w:tc>
        <w:tc>
          <w:tcPr>
            <w:tcW w:type="dxa" w:w="156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iei_sec_ac_use</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3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Cooling use at the second home</w:t>
            </w:r>
          </w:p>
        </w:tc>
        <w:tc>
          <w:tcPr>
            <w:tcW w:type="dxa" w:w="1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Two-household families</w:t>
            </w:r>
          </w:p>
        </w:tc>
        <w:tc>
          <w:tcPr>
            <w:tcW w:type="dxa" w:w="1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 (secondary)</w:t>
            </w:r>
          </w:p>
        </w:tc>
      </w:tr>
    </w:tbl>
    <w:p>
      <w:pPr>
        <w:pStyle w:val="Heading2"/>
        <w:spacing w:after="100" w:before="260"/>
      </w:pPr>
      <w:r>
        <w:rPr>
          <w:rFonts w:ascii="Times New Roman" w:cs="Times New Roman" w:eastAsia="Times New Roman" w:hAnsi="Times New Roman"/>
          <w:b/>
          <w:bCs/>
          <w:color w:val="2E6B8A"/>
          <w:sz w:val="24"/>
          <w:szCs w:val="24"/>
        </w:rPr>
        <w:t xml:space="preserve">5.2  Staff-curated and calculated fields (no participant burden)</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300"/>
        <w:gridCol w:w="900"/>
        <w:gridCol w:w="3380"/>
        <w:gridCol w:w="3500"/>
      </w:tblGrid>
      <w:tr>
        <w:trPr>
          <w:tblHeader/>
        </w:trPr>
        <w:tc>
          <w:tcPr>
            <w:tcW w:type="dxa" w:w="23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33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Populated from</w:t>
            </w:r>
          </w:p>
        </w:tc>
        <w:tc>
          <w:tcPr>
            <w:tcW w:type="dxa" w:w="35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Purpose</w:t>
            </w:r>
          </w:p>
        </w:tc>
      </w:tr>
      <w:tr>
        <w:tc>
          <w:tcPr>
            <w:tcW w:type="dxa" w:w="23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iei_school_hrs_day</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33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bell schedule (§4.1)</w:t>
            </w:r>
          </w:p>
        </w:tc>
        <w:tc>
          <w:tcPr>
            <w:tcW w:type="dxa" w:w="3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Instructional hours per day</w:t>
            </w:r>
          </w:p>
        </w:tc>
      </w:tr>
      <w:tr>
        <w:tc>
          <w:tcPr>
            <w:tcW w:type="dxa" w:w="23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iei_school_days_wk</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33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instructional calendar</w:t>
            </w:r>
          </w:p>
        </w:tc>
        <w:tc>
          <w:tcPr>
            <w:tcW w:type="dxa" w:w="3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Instructional days per week</w:t>
            </w:r>
          </w:p>
        </w:tc>
      </w:tr>
      <w:tr>
        <w:tc>
          <w:tcPr>
            <w:tcW w:type="dxa" w:w="23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iei_f_outdoor</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33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Band midpoints of items 1–2</w:t>
            </w:r>
          </w:p>
        </w:tc>
        <w:tc>
          <w:tcPr>
            <w:tcW w:type="dxa" w:w="3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Weekly fraction outdoors</w:t>
            </w:r>
          </w:p>
        </w:tc>
      </w:tr>
      <w:tr>
        <w:tc>
          <w:tcPr>
            <w:tcW w:type="dxa" w:w="23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iei_f_transit</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33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Band midpoint of item 4</w:t>
            </w:r>
          </w:p>
        </w:tc>
        <w:tc>
          <w:tcPr>
            <w:tcW w:type="dxa" w:w="3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Weekly fraction in transit</w:t>
            </w:r>
          </w:p>
        </w:tc>
      </w:tr>
      <w:tr>
        <w:tc>
          <w:tcPr>
            <w:tcW w:type="dxa" w:w="23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iei_f_school</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33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Staff-curated school hours × days</w:t>
            </w:r>
          </w:p>
        </w:tc>
        <w:tc>
          <w:tcPr>
            <w:tcW w:type="dxa" w:w="3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Weekly fraction at school</w:t>
            </w:r>
          </w:p>
        </w:tc>
      </w:tr>
      <w:tr>
        <w:tc>
          <w:tcPr>
            <w:tcW w:type="dxa" w:w="23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iei_f_home</w:t>
            </w:r>
          </w:p>
        </w:tc>
        <w:tc>
          <w:tcPr>
            <w:tcW w:type="dxa" w:w="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33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Residual: 1 − outdoor − transit − school</w:t>
            </w:r>
          </w:p>
        </w:tc>
        <w:tc>
          <w:tcPr>
            <w:tcW w:type="dxa" w:w="35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Weekly fraction indoors at home</w:t>
            </w:r>
          </w:p>
        </w:tc>
      </w:tr>
      <w:tr>
        <w:tc>
          <w:tcPr>
            <w:tcW w:type="dxa" w:w="23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iei_budget_flag</w:t>
            </w:r>
          </w:p>
        </w:tc>
        <w:tc>
          <w:tcPr>
            <w:tcW w:type="dxa" w:w="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33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Fires when the residual is implausibly small</w:t>
            </w:r>
          </w:p>
        </w:tc>
        <w:tc>
          <w:tcPr>
            <w:tcW w:type="dxa" w:w="35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Single QC flag, replacing the draft's totals</w:t>
            </w:r>
          </w:p>
        </w:tc>
      </w:tr>
    </w:tbl>
    <w:p>
      <w:pPr>
        <w:pStyle w:val="Heading2"/>
        <w:spacing w:after="100" w:before="260"/>
      </w:pPr>
      <w:r>
        <w:rPr>
          <w:rFonts w:ascii="Times New Roman" w:cs="Times New Roman" w:eastAsia="Times New Roman" w:hAnsi="Times New Roman"/>
          <w:b/>
          <w:bCs/>
          <w:color w:val="2E6B8A"/>
          <w:sz w:val="24"/>
          <w:szCs w:val="24"/>
        </w:rPr>
        <w:t xml:space="preserve">5.3  Two amendments that add no fields at all</w:t>
      </w:r>
    </w:p>
    <w:p>
      <w:pPr>
        <w:spacing w:after="120" w:before="0" w:line="276"/>
      </w:pPr>
      <w:r>
        <w:rPr>
          <w:rFonts w:ascii="Times New Roman" w:cs="Times New Roman" w:eastAsia="Times New Roman" w:hAnsi="Times New Roman"/>
          <w:sz w:val="22"/>
          <w:szCs w:val="22"/>
        </w:rPr>
        <w:t xml:space="preserve">Vaping is genuinely absent from the dictionary and is a real indoor PM source. Rather than add a field, amend the label of the existing item: </w:t>
      </w:r>
    </w:p>
    <w:p>
      <w:pPr>
        <w:spacing w:after="80" w:before="0" w:line="276"/>
        <w:ind w:left="260"/>
      </w:pPr>
      <w:r>
        <w:rPr>
          <w:rFonts w:ascii="Consolas" w:cs="Consolas" w:eastAsia="Consolas" w:hAnsi="Consolas"/>
          <w:color w:val="888888"/>
          <w:sz w:val="18"/>
          <w:szCs w:val="18"/>
        </w:rPr>
        <w:t xml:space="preserve">smoking_in_home :  "Does anyone smoke inside the home?"</w:t>
      </w:r>
    </w:p>
    <w:p>
      <w:pPr>
        <w:spacing w:after="80" w:before="0" w:line="276"/>
        <w:ind w:left="260"/>
      </w:pPr>
      <w:r>
        <w:rPr>
          <w:rFonts w:ascii="Consolas" w:cs="Consolas" w:eastAsia="Consolas" w:hAnsi="Consolas"/>
          <w:color w:val="213C4E"/>
          <w:sz w:val="18"/>
          <w:szCs w:val="18"/>
        </w:rPr>
        <w:t xml:space="preserve">             →   "Does anyone smoke or vape inside the home?"</w:t>
      </w:r>
    </w:p>
    <w:p>
      <w:pPr>
        <w:spacing w:after="120" w:before="0" w:line="276"/>
      </w:pPr>
      <w:r>
        <w:rPr>
          <w:rFonts w:ascii="Times New Roman" w:cs="Times New Roman" w:eastAsia="Times New Roman" w:hAnsi="Times New Roman"/>
          <w:sz w:val="22"/>
          <w:szCs w:val="22"/>
        </w:rPr>
        <w:t xml:space="preserve">Apply the same two-word change to sec_smoking_in_home and addr_smoking_in_home. Three label edits, zero new fields, no change to the data structure, and the existing cigarettes_per_day_home already supplies intensity.</w:t>
      </w:r>
    </w:p>
    <w:p>
      <w:pPr>
        <w:spacing w:after="60"/>
      </w:pPr>
      <w:r>
        <w:t xml:space="preserve"/>
      </w:r>
    </w:p>
    <w:p>
      <w:pPr>
        <w:spacing w:after="120" w:before="0" w:line="276"/>
      </w:pPr>
      <w:r>
        <w:rPr>
          <w:rFonts w:ascii="Times New Roman" w:cs="Times New Roman" w:eastAsia="Times New Roman" w:hAnsi="Times New Roman"/>
          <w:sz w:val="22"/>
          <w:szCs w:val="22"/>
        </w:rPr>
        <w:t xml:space="preserve">Separately, a data-governance item that is not an IEI question but should be fixed in the same modification: </w:t>
      </w:r>
      <w:r>
        <w:rPr>
          <w:rFonts w:ascii="Consolas" w:cs="Consolas" w:eastAsia="Consolas" w:hAnsi="Consolas"/>
          <w:sz w:val="19"/>
          <w:szCs w:val="19"/>
        </w:rPr>
        <w:t xml:space="preserve">school_address, school_lat, school_lon, daycare_address, daycare_lat</w:t>
      </w:r>
      <w:r>
        <w:rPr>
          <w:rFonts w:ascii="Times New Roman" w:cs="Times New Roman" w:eastAsia="Times New Roman" w:hAnsi="Times New Roman"/>
          <w:sz w:val="22"/>
          <w:szCs w:val="22"/>
        </w:rPr>
        <w:t xml:space="preserve"> and </w:t>
      </w:r>
      <w:r>
        <w:rPr>
          <w:rFonts w:ascii="Consolas" w:cs="Consolas" w:eastAsia="Consolas" w:hAnsi="Consolas"/>
          <w:sz w:val="19"/>
          <w:szCs w:val="19"/>
        </w:rPr>
        <w:t xml:space="preserve">daycare_lon</w:t>
      </w:r>
      <w:r>
        <w:rPr>
          <w:rFonts w:ascii="Times New Roman" w:cs="Times New Roman" w:eastAsia="Times New Roman" w:hAnsi="Times New Roman"/>
          <w:sz w:val="22"/>
          <w:szCs w:val="22"/>
        </w:rPr>
        <w:t xml:space="preserve"> are not flagged Identifier = Y in the production dictionary, although the residential address fields are. The coordinates are unjittered, unlike masked_lat / masked_lon. Flagging them costs nothing and closes an inconsistency the IRB would reasonably ask about.</w:t>
      </w:r>
    </w:p>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6.  What the minimised scope costs</w:t>
      </w:r>
    </w:p>
    <w:p>
      <w:pPr>
        <w:spacing w:after="120" w:before="0" w:line="276"/>
      </w:pPr>
      <w:r>
        <w:rPr>
          <w:rFonts w:ascii="Times New Roman" w:cs="Times New Roman" w:eastAsia="Times New Roman" w:hAnsi="Times New Roman"/>
          <w:sz w:val="22"/>
          <w:szCs w:val="22"/>
        </w:rPr>
        <w:t xml:space="preserve">Cutting 61 items to 10 is not free. These are the accepted losses, stated plainly so they can be reported as limitations rather than discovered at defence.</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700"/>
        <w:gridCol w:w="3600"/>
        <w:gridCol w:w="3780"/>
      </w:tblGrid>
      <w:tr>
        <w:trPr>
          <w:tblHeader/>
        </w:trPr>
        <w:tc>
          <w:tcPr>
            <w:tcW w:type="dxa" w:w="27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is lost</w:t>
            </w:r>
          </w:p>
        </w:tc>
        <w:tc>
          <w:tcPr>
            <w:tcW w:type="dxa" w:w="36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Consequence</w:t>
            </w:r>
          </w:p>
        </w:tc>
        <w:tc>
          <w:tcPr>
            <w:tcW w:type="dxa" w:w="37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Mitigation</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Banded rather than continuous time estimates</w:t>
            </w:r>
          </w:p>
        </w:tc>
        <w:tc>
          <w:tcPr>
            <w:tcW w:type="dxa" w:w="3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 fractions carry band-width uncertainty; midpoint imputation introduces a known error term</w:t>
            </w:r>
          </w:p>
        </w:tc>
        <w:tc>
          <w:tcPr>
            <w:tcW w:type="dxa" w:w="3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Propagate band width through the sensitivity analysis; report the index under lower, midpoint and upper band assumptions</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No separate indoor/outdoor split at school</w:t>
            </w:r>
          </w:p>
        </w:tc>
        <w:tc>
          <w:tcPr>
            <w:tcW w:type="dxa" w:w="3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Recess and outdoor instruction are folded into the general outdoor estimate rather than attributed to the school location</w:t>
            </w:r>
          </w:p>
        </w:tc>
        <w:tc>
          <w:tcPr>
            <w:tcW w:type="dxa" w:w="3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Assign school-hours outdoor time to the school coordinates in the pipeline using an age-appropriate recess assumption</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HVAC filter maintenance dropped</w:t>
            </w:r>
          </w:p>
        </w:tc>
        <w:tc>
          <w:tcPr>
            <w:tcW w:type="dxa" w:w="3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One minor determinant of indoor particle removal is unmeasured</w:t>
            </w:r>
          </w:p>
        </w:tc>
        <w:tc>
          <w:tcPr>
            <w:tcW w:type="dxa" w:w="3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Air purifier use is retained and is the stronger of the two; note as a limitation</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Candle and incense use dropped</w:t>
            </w:r>
          </w:p>
        </w:tc>
        <w:tc>
          <w:tcPr>
            <w:tcW w:type="dxa" w:w="3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 minor indoor combustion source is unmeasured</w:t>
            </w:r>
          </w:p>
        </w:tc>
        <w:tc>
          <w:tcPr>
            <w:tcW w:type="dxa" w:w="3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No validated weighting exists for it in the pediatric literature; accepted</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Air-quality avoidance behaviour dropped</w:t>
            </w:r>
          </w:p>
        </w:tc>
        <w:tc>
          <w:tcPr>
            <w:tcW w:type="dxa" w:w="3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Cannot test whether behaviour modifies the exposure–outcome relationship</w:t>
            </w:r>
          </w:p>
        </w:tc>
        <w:tc>
          <w:tcPr>
            <w:tcW w:type="dxa" w:w="3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Out of scope by design — this is a mediator, and the NCI-style behavioural work is already deferred to future work</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Home type and age come from records, not the parent</w:t>
            </w:r>
          </w:p>
        </w:tc>
        <w:tc>
          <w:tcPr>
            <w:tcW w:type="dxa" w:w="36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Depends on address-match quality against the appraisal district</w:t>
            </w:r>
          </w:p>
        </w:tc>
        <w:tc>
          <w:tcPr>
            <w:tcW w:type="dxa" w:w="37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QC the match rate; any address failing to match falls back to ACS block-group housing vintage</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School hours come from the calendar, not the parent</w:t>
            </w:r>
          </w:p>
        </w:tc>
        <w:tc>
          <w:tcPr>
            <w:tcW w:type="dxa" w:w="36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Misses individual variation — a child collected early each day, for instance</w:t>
            </w:r>
          </w:p>
        </w:tc>
        <w:tc>
          <w:tcPr>
            <w:tcW w:type="dxa" w:w="37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Accepted. The bell schedule is right for the large majority and wrong by less than parental recall would be.</w:t>
            </w:r>
          </w:p>
        </w:tc>
      </w:tr>
    </w:tbl>
    <w:p>
      <w:pPr>
        <w:spacing w:after="16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7.  IRB implications</w:t>
      </w:r>
    </w:p>
    <w:tbl>
      <w:tblPr>
        <w:tblW w:type="dxa" w:w="10080"/>
        <w:tblBorders>
          <w:top w:val="single" w:color="213C4E" w:sz="4"/>
          <w:left w:val="single" w:color="213C4E" w:sz="18"/>
          <w:bottom w:val="single" w:color="213C4E" w:sz="4"/>
          <w:right w:val="single" w:color="213C4E"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213C4E"/>
                <w:sz w:val="21"/>
                <w:szCs w:val="21"/>
              </w:rPr>
              <w:t xml:space="preserve">The identifier premise in the original plan does not hold</w:t>
            </w:r>
          </w:p>
          <w:p>
            <w:pPr>
              <w:spacing w:after="60" w:before="0" w:line="276"/>
            </w:pPr>
            <w:r>
              <w:rPr>
                <w:rFonts w:ascii="Times New Roman" w:cs="Times New Roman" w:eastAsia="Times New Roman" w:hAnsi="Times New Roman"/>
                <w:sz w:val="20"/>
                <w:szCs w:val="20"/>
              </w:rPr>
              <w:t xml:space="preserve">The Time-Activity Supplement was flagged as a probable consent addendum on the grounds that it introduced school and secondary-residence addresses as new HIPAA identifiers. It does not. Both are already collected under the approved protocol: sec_street_address, sec_city, sec_state and sec_zip_code are live in secondary_household_details and already flagged Identifier = Y, and school_address with school_lat and school_lon are live in geocode_derived_variables, populated by API import from the already-approved school_name. The recommended addition set collects no address, no name, no date and no contact detail. It introduces zero new HIPAA identifiers.</w:t>
            </w:r>
          </w:p>
        </w:tc>
      </w:tr>
    </w:tbl>
    <w:p>
      <w:pPr>
        <w:spacing w:after="140"/>
      </w:pPr>
      <w:r>
        <w:t xml:space="preserve"/>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700"/>
        <w:gridCol w:w="7380"/>
      </w:tblGrid>
      <w:tr>
        <w:trPr>
          <w:tblHeader/>
        </w:trPr>
        <w:tc>
          <w:tcPr>
            <w:tcW w:type="dxa" w:w="27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Review consideration</w:t>
            </w:r>
          </w:p>
        </w:tc>
        <w:tc>
          <w:tcPr>
            <w:tcW w:type="dxa" w:w="73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Position</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New HIPAA identifiers</w:t>
            </w:r>
          </w:p>
        </w:tc>
        <w:tc>
          <w:tcPr>
            <w:tcW w:type="dxa" w:w="7380"/>
            <w:tcMar>
              <w:top w:type="dxa" w:w="70"/>
              <w:left w:type="dxa" w:w="110"/>
              <w:bottom w:type="dxa" w:w="70"/>
              <w:right w:type="dxa" w:w="110"/>
            </w:tcMar>
          </w:tcPr>
          <w:p>
            <w:pPr>
              <w:spacing w:after="0" w:before="0" w:line="240"/>
            </w:pPr>
            <w:r>
              <w:rPr>
                <w:rFonts w:ascii="Times New Roman" w:cs="Times New Roman" w:eastAsia="Times New Roman" w:hAnsi="Times New Roman"/>
                <w:color w:val="15803D"/>
                <w:sz w:val="18"/>
                <w:szCs w:val="18"/>
              </w:rPr>
              <w:t xml:space="preserve">None. All ten items are categorical questions about habits and schedule.</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New sensitive categories</w:t>
            </w:r>
          </w:p>
        </w:tc>
        <w:tc>
          <w:tcPr>
            <w:tcW w:type="dxa" w:w="73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color w:val="15803D"/>
                <w:sz w:val="18"/>
                <w:szCs w:val="18"/>
              </w:rPr>
              <w:t xml:space="preserve">None. No new questions about health status, income, immigration, or substance use beyond the existing label amendment.</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Change to risk profile</w:t>
            </w:r>
          </w:p>
        </w:tc>
        <w:tc>
          <w:tcPr>
            <w:tcW w:type="dxa" w:w="7380"/>
            <w:tcMar>
              <w:top w:type="dxa" w:w="70"/>
              <w:left w:type="dxa" w:w="110"/>
              <w:bottom w:type="dxa" w:w="70"/>
              <w:right w:type="dxa" w:w="110"/>
            </w:tcMar>
          </w:tcPr>
          <w:p>
            <w:pPr>
              <w:spacing w:after="0" w:before="0" w:line="240"/>
            </w:pPr>
            <w:r>
              <w:rPr>
                <w:rFonts w:ascii="Times New Roman" w:cs="Times New Roman" w:eastAsia="Times New Roman" w:hAnsi="Times New Roman"/>
                <w:color w:val="15803D"/>
                <w:sz w:val="18"/>
                <w:szCs w:val="18"/>
              </w:rPr>
              <w:t xml:space="preserve">None. Pattern-of-life inference was the stated concern; ten banded categorical items are materially less granular than the hour-by-hour grid originally drafted.</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Participant burden</w:t>
            </w:r>
          </w:p>
        </w:tc>
        <w:tc>
          <w:tcPr>
            <w:tcW w:type="dxa" w:w="73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color w:val="15803D"/>
                <w:sz w:val="18"/>
                <w:szCs w:val="18"/>
              </w:rPr>
              <w:t xml:space="preserve">Approximately 90 seconds, median 7 items — a reduction against the drafted instrument, not an increase.</w:t>
            </w:r>
          </w:p>
        </w:tc>
      </w:tr>
      <w:tr>
        <w:tc>
          <w:tcPr>
            <w:tcW w:type="dxa" w:w="27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Spanish translation</w:t>
            </w:r>
          </w:p>
        </w:tc>
        <w:tc>
          <w:tcPr>
            <w:tcW w:type="dxa" w:w="7380"/>
            <w:tcMar>
              <w:top w:type="dxa" w:w="70"/>
              <w:left w:type="dxa" w:w="110"/>
              <w:bottom w:type="dxa" w:w="70"/>
              <w:right w:type="dxa" w:w="110"/>
            </w:tcMar>
          </w:tcPr>
          <w:p>
            <w:pPr>
              <w:spacing w:after="0" w:before="0" w:line="240"/>
            </w:pPr>
            <w:r>
              <w:rPr>
                <w:rFonts w:ascii="Times New Roman" w:cs="Times New Roman" w:eastAsia="Times New Roman" w:hAnsi="Times New Roman"/>
                <w:color w:val="B45309"/>
                <w:sz w:val="18"/>
                <w:szCs w:val="18"/>
              </w:rPr>
              <w:t xml:space="preserve">Required, and must be submitted alongside the English version. Ten items is roughly a day of translator time against several days for the original draft.</w:t>
            </w:r>
          </w:p>
        </w:tc>
      </w:tr>
      <w:tr>
        <w:tc>
          <w:tcPr>
            <w:tcW w:type="dxa" w:w="27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Expected review pathway</w:t>
            </w:r>
          </w:p>
        </w:tc>
        <w:tc>
          <w:tcPr>
            <w:tcW w:type="dxa" w:w="73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color w:val="15803D"/>
                <w:sz w:val="18"/>
                <w:szCs w:val="18"/>
              </w:rPr>
              <w:t xml:space="preserve">Minor modification to approved instruments. The thesis timeline assumed 2–4 weeks for this route against 4–6 for a consent addendum.</w:t>
            </w:r>
          </w:p>
        </w:tc>
      </w:tr>
    </w:tbl>
    <w:p>
      <w:pPr>
        <w:spacing w:after="140"/>
      </w:pPr>
      <w:r>
        <w:t xml:space="preserve"/>
      </w:r>
    </w:p>
    <w:p>
      <w:pPr>
        <w:spacing w:after="120" w:before="0" w:line="276"/>
      </w:pPr>
      <w:r>
        <w:rPr>
          <w:rFonts w:ascii="Times New Roman" w:cs="Times New Roman" w:eastAsia="Times New Roman" w:hAnsi="Times New Roman"/>
          <w:sz w:val="22"/>
          <w:szCs w:val="22"/>
        </w:rPr>
        <w:t xml:space="preserve">One point still needs confirming before submission, and it is the same point that has been on the critical path throughout: </w:t>
      </w:r>
      <w:r>
        <w:rPr>
          <w:rFonts w:ascii="Times New Roman" w:cs="Times New Roman" w:eastAsia="Times New Roman" w:hAnsi="Times New Roman"/>
          <w:b/>
          <w:bCs/>
          <w:sz w:val="22"/>
          <w:szCs w:val="22"/>
        </w:rPr>
        <w:t xml:space="preserve">does the approved consent language cover geocoding of the addresses already being collected?</w:t>
      </w:r>
      <w:r>
        <w:rPr>
          <w:rFonts w:ascii="Times New Roman" w:cs="Times New Roman" w:eastAsia="Times New Roman" w:hAnsi="Times New Roman"/>
          <w:sz w:val="22"/>
          <w:szCs w:val="22"/>
        </w:rPr>
        <w:t xml:space="preserve"> If it does, this is a clean minor modification. If it does not, the problem is with the currently-approved geocoding activity rather than with anything this supplement adds — which is a separate and more urgent conversation, and one worth having with the IRB regardless of the thesis.</w:t>
      </w:r>
    </w:p>
    <w:p>
      <w:pPr>
        <w:spacing w:after="16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8.  Recommended next actions</w:t>
      </w:r>
    </w:p>
    <w:p>
      <w:pPr>
        <w:pStyle w:val="ListParagraph"/>
        <w:numPr>
          <w:ilvl w:val="0"/>
          <w:numId w:val="3"/>
        </w:numPr>
        <w:spacing w:after="70" w:line="276"/>
      </w:pPr>
      <w:r>
        <w:rPr>
          <w:rFonts w:ascii="Times New Roman" w:cs="Times New Roman" w:eastAsia="Times New Roman" w:hAnsi="Times New Roman"/>
          <w:b/>
          <w:bCs/>
          <w:sz w:val="22"/>
          <w:szCs w:val="22"/>
        </w:rPr>
        <w:t xml:space="preserve">Confirm the consent language </w:t>
      </w:r>
      <w:r>
        <w:rPr>
          <w:rFonts w:ascii="Times New Roman" w:cs="Times New Roman" w:eastAsia="Times New Roman" w:hAnsi="Times New Roman"/>
          <w:sz w:val="22"/>
          <w:szCs w:val="22"/>
        </w:rPr>
        <w:t xml:space="preserve">covers geocoding beyond the primary residence. This is unchanged as the first task on the critical path, and it now determines the review pathway for an instrument that adds no identifiers.</w:t>
      </w:r>
    </w:p>
    <w:p>
      <w:pPr>
        <w:pStyle w:val="ListParagraph"/>
        <w:numPr>
          <w:ilvl w:val="0"/>
          <w:numId w:val="3"/>
        </w:numPr>
        <w:spacing w:after="70" w:line="276"/>
      </w:pPr>
      <w:r>
        <w:rPr>
          <w:rFonts w:ascii="Times New Roman" w:cs="Times New Roman" w:eastAsia="Times New Roman" w:hAnsi="Times New Roman"/>
          <w:b/>
          <w:bCs/>
          <w:sz w:val="22"/>
          <w:szCs w:val="22"/>
        </w:rPr>
        <w:t xml:space="preserve">Circulate this reconciliation to Dr. Melaram </w:t>
      </w:r>
      <w:r>
        <w:rPr>
          <w:rFonts w:ascii="Times New Roman" w:cs="Times New Roman" w:eastAsia="Times New Roman" w:hAnsi="Times New Roman"/>
          <w:sz w:val="22"/>
          <w:szCs w:val="22"/>
        </w:rPr>
        <w:t xml:space="preserve">before the modification is drafted. Twenty-two duplicate fields is the kind of finding that is much cheaper to surface now than after submission.</w:t>
      </w:r>
    </w:p>
    <w:p>
      <w:pPr>
        <w:pStyle w:val="ListParagraph"/>
        <w:numPr>
          <w:ilvl w:val="0"/>
          <w:numId w:val="3"/>
        </w:numPr>
        <w:spacing w:after="70" w:line="276"/>
      </w:pPr>
      <w:r>
        <w:rPr>
          <w:rFonts w:ascii="Times New Roman" w:cs="Times New Roman" w:eastAsia="Times New Roman" w:hAnsi="Times New Roman"/>
          <w:b/>
          <w:bCs/>
          <w:sz w:val="22"/>
          <w:szCs w:val="22"/>
        </w:rPr>
        <w:t xml:space="preserve">Build the campus lookup table </w:t>
      </w:r>
      <w:r>
        <w:rPr>
          <w:rFonts w:ascii="Times New Roman" w:cs="Times New Roman" w:eastAsia="Times New Roman" w:hAnsi="Times New Roman"/>
          <w:sz w:val="22"/>
          <w:szCs w:val="22"/>
        </w:rPr>
        <w:t xml:space="preserve">for the eight districts in §4.1. This is independent of the IRB and can be finished this week — it removes three questions and improves on all three.</w:t>
      </w:r>
    </w:p>
    <w:p>
      <w:pPr>
        <w:pStyle w:val="ListParagraph"/>
        <w:numPr>
          <w:ilvl w:val="0"/>
          <w:numId w:val="3"/>
        </w:numPr>
        <w:spacing w:after="70" w:line="276"/>
      </w:pPr>
      <w:r>
        <w:rPr>
          <w:rFonts w:ascii="Times New Roman" w:cs="Times New Roman" w:eastAsia="Times New Roman" w:hAnsi="Times New Roman"/>
          <w:b/>
          <w:bCs/>
          <w:sz w:val="22"/>
          <w:szCs w:val="22"/>
        </w:rPr>
        <w:t xml:space="preserve">Draft the modification narrative around the reduction, </w:t>
      </w:r>
      <w:r>
        <w:rPr>
          <w:rFonts w:ascii="Times New Roman" w:cs="Times New Roman" w:eastAsia="Times New Roman" w:hAnsi="Times New Roman"/>
          <w:sz w:val="22"/>
          <w:szCs w:val="22"/>
        </w:rPr>
        <w:t xml:space="preserve">not the addition. The instrument that goes to the IRB is smaller, less granular and less identifying than the one described in the thesis proposal.</w:t>
      </w:r>
    </w:p>
    <w:p>
      <w:pPr>
        <w:pStyle w:val="ListParagraph"/>
        <w:numPr>
          <w:ilvl w:val="0"/>
          <w:numId w:val="3"/>
        </w:numPr>
        <w:spacing w:after="70" w:line="276"/>
      </w:pPr>
      <w:r>
        <w:rPr>
          <w:rFonts w:ascii="Times New Roman" w:cs="Times New Roman" w:eastAsia="Times New Roman" w:hAnsi="Times New Roman"/>
          <w:b/>
          <w:bCs/>
          <w:sz w:val="22"/>
          <w:szCs w:val="22"/>
        </w:rPr>
        <w:t xml:space="preserve">Commission the Spanish translation </w:t>
      </w:r>
      <w:r>
        <w:rPr>
          <w:rFonts w:ascii="Times New Roman" w:cs="Times New Roman" w:eastAsia="Times New Roman" w:hAnsi="Times New Roman"/>
          <w:sz w:val="22"/>
          <w:szCs w:val="22"/>
        </w:rPr>
        <w:t xml:space="preserve">of the ten items in parallel with the modification narrative, so both are ready to submit together.</w:t>
      </w:r>
    </w:p>
    <w:p>
      <w:pPr>
        <w:pStyle w:val="ListParagraph"/>
        <w:numPr>
          <w:ilvl w:val="0"/>
          <w:numId w:val="3"/>
        </w:numPr>
        <w:spacing w:after="70" w:line="276"/>
      </w:pPr>
      <w:r>
        <w:rPr>
          <w:rFonts w:ascii="Times New Roman" w:cs="Times New Roman" w:eastAsia="Times New Roman" w:hAnsi="Times New Roman"/>
          <w:b/>
          <w:bCs/>
          <w:sz w:val="22"/>
          <w:szCs w:val="22"/>
        </w:rPr>
        <w:t xml:space="preserve">Add the three label amendments and the six identifier flags </w:t>
      </w:r>
      <w:r>
        <w:rPr>
          <w:rFonts w:ascii="Times New Roman" w:cs="Times New Roman" w:eastAsia="Times New Roman" w:hAnsi="Times New Roman"/>
          <w:sz w:val="22"/>
          <w:szCs w:val="22"/>
        </w:rPr>
        <w:t xml:space="preserve">to the same modification, so the dictionary is corrected in one review cycle rather than two.</w:t>
      </w:r>
    </w:p>
    <w:p>
      <w:pPr>
        <w:spacing w:after="200"/>
      </w:pPr>
      <w:r>
        <w:t xml:space="preserve"/>
      </w:r>
    </w:p>
    <w:p>
      <w:pPr>
        <w:spacing w:after="120" w:before="0" w:line="276"/>
      </w:pPr>
      <w:r>
        <w:rPr>
          <w:rFonts w:ascii="Times New Roman" w:cs="Times New Roman" w:eastAsia="Times New Roman" w:hAnsi="Times New Roman"/>
          <w:b/>
          <w:bCs/>
          <w:i/>
          <w:iCs/>
          <w:sz w:val="20"/>
          <w:szCs w:val="20"/>
        </w:rPr>
        <w:t xml:space="preserve">Companion document: </w:t>
      </w:r>
      <w:r>
        <w:rPr>
          <w:rFonts w:ascii="Times New Roman" w:cs="Times New Roman" w:eastAsia="Times New Roman" w:hAnsi="Times New Roman"/>
          <w:i/>
          <w:iCs/>
          <w:sz w:val="20"/>
          <w:szCs w:val="20"/>
        </w:rPr>
        <w:t xml:space="preserve">“IEI Supplement — Sample Form and Item Justification”, which renders the instrument exactly as a participant would see it, with variable names, REDCap field types, branching logic, calculated-field syntax, and an item-by-item justification table.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6"/>
        <w:szCs w:val="16"/>
      </w:rPr>
      <w:t xml:space="preserve">BREATHE-CC  ·  IEI Honors Thesis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0"/>
      <w:jc w:val="right"/>
    </w:pPr>
    <w:r>
      <w:rPr>
        <w:rFonts w:ascii="Times New Roman" w:cs="Times New Roman" w:eastAsia="Times New Roman" w:hAnsi="Times New Roman"/>
        <w:i/>
        <w:iCs/>
        <w:color w:val="777777"/>
        <w:sz w:val="16"/>
        <w:szCs w:val="16"/>
      </w:rPr>
      <w:t xml:space="preserve">IEI Field Inventory and Minimal Addition Set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lvl w:ilvl="1" w15:tentative="1">
      <w:start w:val="1"/>
      <w:numFmt w:val="bullet"/>
      <w:lvlText w:val="◦"/>
      <w:lvlJc w:val="left"/>
      <w:pPr>
        <w:ind w:left="760" w:hanging="200"/>
      </w:pPr>
    </w:lvl>
  </w:abstractNum>
  <w:abstractNum w:abstractNumId="3" w15:restartNumberingAfterBreak="0">
    <w:multiLevelType w:val="hybridMultilevel"/>
    <w:lvl w:ilvl="0" w15:tentative="1">
      <w:start w:val="1"/>
      <w:numFmt w:val="decimal"/>
      <w:lvlText w:val="%1."/>
      <w:lvlJc w:val="left"/>
      <w:pPr>
        <w:ind w:left="400" w:hanging="2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2026-09-10T03:19:56.750Z</dcterms:created>
  <dcterms:modified xsi:type="dcterms:W3CDTF">2026-09-10T03:19:56.751Z</dcterms:modified>
</cp:coreProperties>
</file>

<file path=docProps/custom.xml><?xml version="1.0" encoding="utf-8"?>
<Properties xmlns="http://schemas.openxmlformats.org/officeDocument/2006/custom-properties" xmlns:vt="http://schemas.openxmlformats.org/officeDocument/2006/docPropsVTypes"/>
</file>