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b/>
          <w:bCs/>
          <w:color w:val="2E6B8A"/>
          <w:sz w:val="18"/>
          <w:szCs w:val="18"/>
        </w:rPr>
        <w:t xml:space="preserve">BREATHE-CC · INTEGRATED EXPOSURE INDEX</w:t>
      </w:r>
    </w:p>
    <w:p>
      <w:pPr>
        <w:spacing w:after="80"/>
      </w:pPr>
      <w:r>
        <w:rPr>
          <w:rFonts w:ascii="Times New Roman" w:cs="Times New Roman" w:eastAsia="Times New Roman" w:hAnsi="Times New Roman"/>
          <w:b/>
          <w:bCs/>
          <w:color w:val="213C4E"/>
          <w:sz w:val="40"/>
          <w:szCs w:val="40"/>
        </w:rPr>
        <w:t xml:space="preserve">IEI Supplement — Sample Form and Item Justification</w:t>
      </w:r>
    </w:p>
    <w:p>
      <w:pPr>
        <w:pBdr>
          <w:bottom w:val="single" w:color="213C4E" w:sz="12" w:space="8"/>
        </w:pBdr>
        <w:spacing w:after="140"/>
      </w:pPr>
      <w:r>
        <w:rPr>
          <w:rFonts w:ascii="Times New Roman" w:cs="Times New Roman" w:eastAsia="Times New Roman" w:hAnsi="Times New Roman"/>
          <w:i/>
          <w:iCs/>
          <w:color w:val="444444"/>
          <w:sz w:val="24"/>
          <w:szCs w:val="24"/>
        </w:rPr>
        <w:t xml:space="preserve">The proposed instrument exactly as a participant would see it, with variable names, REDCap field types, branching logic, and a defence of every item</w:t>
      </w:r>
    </w:p>
    <w:p>
      <w:pPr>
        <w:spacing w:after="40" w:before="0" w:line="276"/>
      </w:pPr>
      <w:r>
        <w:rPr>
          <w:rFonts w:ascii="Times New Roman" w:cs="Times New Roman" w:eastAsia="Times New Roman" w:hAnsi="Times New Roman"/>
          <w:b/>
          <w:bCs/>
          <w:sz w:val="19"/>
          <w:szCs w:val="19"/>
        </w:rPr>
        <w:t xml:space="preserve">Instrument  </w:t>
      </w:r>
      <w:r>
        <w:rPr>
          <w:rFonts w:ascii="Times New Roman" w:cs="Times New Roman" w:eastAsia="Times New Roman" w:hAnsi="Times New Roman"/>
          <w:sz w:val="19"/>
          <w:szCs w:val="19"/>
        </w:rPr>
        <w:t xml:space="preserve">iei_supplement  ·  variable prefix  iei_</w:t>
      </w:r>
    </w:p>
    <w:p>
      <w:pPr>
        <w:spacing w:after="40" w:before="0" w:line="276"/>
      </w:pPr>
      <w:r>
        <w:rPr>
          <w:rFonts w:ascii="Times New Roman" w:cs="Times New Roman" w:eastAsia="Times New Roman" w:hAnsi="Times New Roman"/>
          <w:b/>
          <w:bCs/>
          <w:sz w:val="19"/>
          <w:szCs w:val="19"/>
        </w:rPr>
        <w:t xml:space="preserve">Prepared by  </w:t>
      </w:r>
      <w:r>
        <w:rPr>
          <w:rFonts w:ascii="Times New Roman" w:cs="Times New Roman" w:eastAsia="Times New Roman" w:hAnsi="Times New Roman"/>
          <w:sz w:val="19"/>
          <w:szCs w:val="19"/>
        </w:rPr>
        <w:t xml:space="preserve">Aidan Meyers, Project Coordinator — BREATHE-CC</w:t>
      </w:r>
    </w:p>
    <w:p>
      <w:pPr>
        <w:spacing w:after="40" w:before="0" w:line="276"/>
      </w:pPr>
      <w:r>
        <w:rPr>
          <w:rFonts w:ascii="Times New Roman" w:cs="Times New Roman" w:eastAsia="Times New Roman" w:hAnsi="Times New Roman"/>
          <w:b/>
          <w:bCs/>
          <w:sz w:val="19"/>
          <w:szCs w:val="19"/>
        </w:rPr>
        <w:t xml:space="preserve">Date  </w:t>
      </w:r>
      <w:r>
        <w:rPr>
          <w:rFonts w:ascii="Times New Roman" w:cs="Times New Roman" w:eastAsia="Times New Roman" w:hAnsi="Times New Roman"/>
          <w:sz w:val="19"/>
          <w:szCs w:val="19"/>
        </w:rPr>
        <w:t xml:space="preserve">September 9, 2026</w:t>
      </w:r>
    </w:p>
    <w:p>
      <w:pPr>
        <w:spacing w:after="40" w:before="0" w:line="276"/>
      </w:pPr>
      <w:r>
        <w:rPr>
          <w:rFonts w:ascii="Times New Roman" w:cs="Times New Roman" w:eastAsia="Times New Roman" w:hAnsi="Times New Roman"/>
          <w:b/>
          <w:bCs/>
          <w:sz w:val="19"/>
          <w:szCs w:val="19"/>
        </w:rPr>
        <w:t xml:space="preserve">Companion document  </w:t>
      </w:r>
      <w:r>
        <w:rPr>
          <w:rFonts w:ascii="Times New Roman" w:cs="Times New Roman" w:eastAsia="Times New Roman" w:hAnsi="Times New Roman"/>
          <w:sz w:val="19"/>
          <w:szCs w:val="19"/>
        </w:rPr>
        <w:t xml:space="preserve">“IEI Field Inventory and Minimal Addition Set” — the reconciliation this instrument is derived from</w:t>
      </w:r>
    </w:p>
    <w:p>
      <w:pPr>
        <w:spacing w:after="40" w:before="0" w:line="276"/>
      </w:pPr>
      <w:r>
        <w:rPr>
          <w:rFonts w:ascii="Times New Roman" w:cs="Times New Roman" w:eastAsia="Times New Roman" w:hAnsi="Times New Roman"/>
          <w:b/>
          <w:bCs/>
          <w:sz w:val="19"/>
          <w:szCs w:val="19"/>
        </w:rPr>
        <w:t xml:space="preserve">Replaces  </w:t>
      </w:r>
      <w:r>
        <w:rPr>
          <w:rFonts w:ascii="Times New Roman" w:cs="Times New Roman" w:eastAsia="Times New Roman" w:hAnsi="Times New Roman"/>
          <w:sz w:val="19"/>
          <w:szCs w:val="19"/>
        </w:rPr>
        <w:t xml:space="preserve">BREATHE-CC_TimeActivity_Supplement_DataDictionary.csv (draft, Aug 31, 2026 — 75 rows, 61 participant-facing items)</w:t>
      </w:r>
    </w:p>
    <w:p>
      <w:pPr>
        <w:spacing w:after="160"/>
      </w:pPr>
      <w:r>
        <w:t xml:space="preserve"/>
      </w:r>
    </w:p>
    <w:tbl>
      <w:tblPr>
        <w:tblW w:type="dxa" w:w="10080"/>
        <w:tblBorders>
          <w:top w:val="single" w:color="213C4E" w:sz="4"/>
          <w:left w:val="single" w:color="213C4E" w:sz="18"/>
          <w:bottom w:val="single" w:color="213C4E" w:sz="4"/>
          <w:right w:val="single" w:color="213C4E"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13C4E"/>
                <w:sz w:val="21"/>
                <w:szCs w:val="21"/>
              </w:rPr>
              <w:t xml:space="preserve">At a glance</w:t>
            </w:r>
          </w:p>
          <w:p>
            <w:pPr>
              <w:spacing w:after="70" w:before="0" w:line="276"/>
            </w:pPr>
            <w:r>
              <w:rPr>
                <w:rFonts w:ascii="Times New Roman" w:cs="Times New Roman" w:eastAsia="Times New Roman" w:hAnsi="Times New Roman"/>
                <w:b/>
                <w:bCs/>
                <w:color w:val="213C4E"/>
                <w:sz w:val="20"/>
                <w:szCs w:val="20"/>
              </w:rPr>
              <w:t xml:space="preserve">10 participant-facing items</w:t>
            </w:r>
            <w:r>
              <w:rPr>
                <w:rFonts w:ascii="Times New Roman" w:cs="Times New Roman" w:eastAsia="Times New Roman" w:hAnsi="Times New Roman"/>
                <w:sz w:val="20"/>
                <w:szCs w:val="20"/>
              </w:rPr>
              <w:t xml:space="preserve">  ·  7 seen by the median participant after branching  ·  ~90 seconds to complete  ·  </w:t>
            </w:r>
            <w:r>
              <w:rPr>
                <w:rFonts w:ascii="Times New Roman" w:cs="Times New Roman" w:eastAsia="Times New Roman" w:hAnsi="Times New Roman"/>
                <w:b/>
                <w:bCs/>
                <w:color w:val="15803D"/>
                <w:sz w:val="20"/>
                <w:szCs w:val="20"/>
              </w:rPr>
              <w:t xml:space="preserve">zero new HIPAA identifiers</w:t>
            </w:r>
          </w:p>
          <w:p>
            <w:pPr>
              <w:spacing w:after="0" w:before="0" w:line="276"/>
            </w:pPr>
            <w:r>
              <w:rPr>
                <w:rFonts w:ascii="Times New Roman" w:cs="Times New Roman" w:eastAsia="Times New Roman" w:hAnsi="Times New Roman"/>
                <w:sz w:val="20"/>
                <w:szCs w:val="20"/>
              </w:rPr>
              <w:t xml:space="preserve">19 data-dictionary rows in total: 10 participant items, 2 staff-curated fields, 5 calculated fields, 2 section headers. The draft it replaces had 75.</w:t>
            </w:r>
          </w:p>
        </w:tc>
      </w:tr>
    </w:tbl>
    <w:p>
      <w:pPr>
        <w:spacing w:after="18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1.  How to read this document</w:t>
      </w:r>
    </w:p>
    <w:p>
      <w:pPr>
        <w:spacing w:after="120" w:before="0" w:line="276"/>
      </w:pPr>
      <w:r>
        <w:rPr>
          <w:rFonts w:ascii="Times New Roman" w:cs="Times New Roman" w:eastAsia="Times New Roman" w:hAnsi="Times New Roman"/>
          <w:sz w:val="22"/>
          <w:szCs w:val="22"/>
        </w:rPr>
        <w:t xml:space="preserve">Section 2 renders the instrument as it would appear to a parent completing it on a phone. Above each question is a dark strip carrying the four things that matter for implementation:</w:t>
      </w:r>
    </w:p>
    <w:p>
      <w:pPr>
        <w:pStyle w:val="ListParagraph"/>
        <w:numPr>
          <w:ilvl w:val="0"/>
          <w:numId w:val="2"/>
        </w:numPr>
        <w:spacing w:after="70" w:line="276"/>
      </w:pPr>
      <w:r>
        <w:rPr>
          <w:rFonts w:ascii="Times New Roman" w:cs="Times New Roman" w:eastAsia="Times New Roman" w:hAnsi="Times New Roman"/>
          <w:b/>
          <w:bCs/>
          <w:sz w:val="22"/>
          <w:szCs w:val="22"/>
        </w:rPr>
        <w:t xml:space="preserve">the variable name</w:t>
      </w:r>
      <w:r>
        <w:rPr>
          <w:rFonts w:ascii="Times New Roman" w:cs="Times New Roman" w:eastAsia="Times New Roman" w:hAnsi="Times New Roman"/>
          <w:sz w:val="22"/>
          <w:szCs w:val="22"/>
        </w:rPr>
        <w:t xml:space="preserve"> exactly as it will appear in the data dictionary and in analysis code;</w:t>
      </w:r>
    </w:p>
    <w:p>
      <w:pPr>
        <w:pStyle w:val="ListParagraph"/>
        <w:numPr>
          <w:ilvl w:val="0"/>
          <w:numId w:val="2"/>
        </w:numPr>
        <w:spacing w:after="70" w:line="276"/>
      </w:pPr>
      <w:r>
        <w:rPr>
          <w:rFonts w:ascii="Times New Roman" w:cs="Times New Roman" w:eastAsia="Times New Roman" w:hAnsi="Times New Roman"/>
          <w:b/>
          <w:bCs/>
          <w:sz w:val="22"/>
          <w:szCs w:val="22"/>
        </w:rPr>
        <w:t xml:space="preserve">the REDCap field type</w:t>
      </w:r>
      <w:r>
        <w:rPr>
          <w:rFonts w:ascii="Times New Roman" w:cs="Times New Roman" w:eastAsia="Times New Roman" w:hAnsi="Times New Roman"/>
          <w:sz w:val="22"/>
          <w:szCs w:val="22"/>
        </w:rPr>
        <w:t xml:space="preserve"> — radio, checkbox, yesno, text or calc;</w:t>
      </w:r>
    </w:p>
    <w:p>
      <w:pPr>
        <w:pStyle w:val="ListParagraph"/>
        <w:numPr>
          <w:ilvl w:val="0"/>
          <w:numId w:val="2"/>
        </w:numPr>
        <w:spacing w:after="70" w:line="276"/>
      </w:pPr>
      <w:r>
        <w:rPr>
          <w:rFonts w:ascii="Times New Roman" w:cs="Times New Roman" w:eastAsia="Times New Roman" w:hAnsi="Times New Roman"/>
          <w:b/>
          <w:bCs/>
          <w:sz w:val="22"/>
          <w:szCs w:val="22"/>
        </w:rPr>
        <w:t xml:space="preserve">whether the item is required</w:t>
      </w:r>
      <w:r>
        <w:rPr>
          <w:rFonts w:ascii="Times New Roman" w:cs="Times New Roman" w:eastAsia="Times New Roman" w:hAnsi="Times New Roman"/>
          <w:sz w:val="22"/>
          <w:szCs w:val="22"/>
        </w:rPr>
        <w:t xml:space="preserve">; and</w:t>
      </w:r>
    </w:p>
    <w:p>
      <w:pPr>
        <w:pStyle w:val="ListParagraph"/>
        <w:numPr>
          <w:ilvl w:val="0"/>
          <w:numId w:val="2"/>
        </w:numPr>
        <w:spacing w:after="70" w:line="276"/>
      </w:pPr>
      <w:r>
        <w:rPr>
          <w:rFonts w:ascii="Times New Roman" w:cs="Times New Roman" w:eastAsia="Times New Roman" w:hAnsi="Times New Roman"/>
          <w:b/>
          <w:bCs/>
          <w:sz w:val="22"/>
          <w:szCs w:val="22"/>
        </w:rPr>
        <w:t xml:space="preserve">who sees it</w:t>
      </w:r>
      <w:r>
        <w:rPr>
          <w:rFonts w:ascii="Times New Roman" w:cs="Times New Roman" w:eastAsia="Times New Roman" w:hAnsi="Times New Roman"/>
          <w:sz w:val="22"/>
          <w:szCs w:val="22"/>
        </w:rPr>
        <w:t xml:space="preserve"> — every participant, or only the subset selected by a branching condition.</w:t>
      </w:r>
    </w:p>
    <w:p>
      <w:pPr>
        <w:spacing w:after="120" w:before="0" w:line="276"/>
      </w:pPr>
      <w:r>
        <w:rPr>
          <w:rFonts w:ascii="Times New Roman" w:cs="Times New Roman" w:eastAsia="Times New Roman" w:hAnsi="Times New Roman"/>
          <w:sz w:val="22"/>
          <w:szCs w:val="22"/>
        </w:rPr>
        <w:t xml:space="preserve">Grey codes to the right of each answer option are the stored values. Sections 3 to 5 give the branching syntax, the calculated-field expressions, and the staff-curated fields. Section 6 justifies every item individually.</w:t>
      </w:r>
    </w:p>
    <w:p>
      <w:pPr>
        <w:spacing w:after="120"/>
      </w:pPr>
      <w:r>
        <w:t xml:space="preserve"/>
      </w:r>
    </w:p>
    <w:tbl>
      <w:tblPr>
        <w:tblW w:type="dxa" w:w="10080"/>
        <w:tblBorders>
          <w:top w:val="single" w:color="2E6B8A" w:sz="4"/>
          <w:left w:val="single" w:color="2E6B8A" w:sz="18"/>
          <w:bottom w:val="single" w:color="2E6B8A" w:sz="4"/>
          <w:right w:val="single" w:color="2E6B8A"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E6B8A"/>
                <w:sz w:val="21"/>
                <w:szCs w:val="21"/>
              </w:rPr>
              <w:t xml:space="preserve">Design rules applied throughout</w:t>
            </w:r>
          </w:p>
          <w:p>
            <w:pPr>
              <w:spacing w:after="60" w:before="0" w:line="276"/>
            </w:pPr>
            <w:r>
              <w:rPr>
                <w:rFonts w:ascii="Times New Roman" w:cs="Times New Roman" w:eastAsia="Times New Roman" w:hAnsi="Times New Roman"/>
                <w:b/>
                <w:bCs/>
                <w:sz w:val="20"/>
                <w:szCs w:val="20"/>
              </w:rPr>
              <w:t xml:space="preserve">Bands, not numbers. </w:t>
            </w:r>
            <w:r>
              <w:rPr>
                <w:rFonts w:ascii="Times New Roman" w:cs="Times New Roman" w:eastAsia="Times New Roman" w:hAnsi="Times New Roman"/>
                <w:sz w:val="20"/>
                <w:szCs w:val="20"/>
              </w:rPr>
              <w:t xml:space="preserve">No question asks a parent to produce a figure that has to reconcile to 24 hours. Banded recall is the standard in time-activity instruments (NHAPS, EPA CHAD) precisely because parents estimate poorly against a fixed total, and because it removes an entire class of data query.</w:t>
            </w:r>
          </w:p>
          <w:p>
            <w:pPr>
              <w:spacing w:after="60" w:before="0" w:line="276"/>
            </w:pPr>
            <w:r>
              <w:rPr>
                <w:rFonts w:ascii="Times New Roman" w:cs="Times New Roman" w:eastAsia="Times New Roman" w:hAnsi="Times New Roman"/>
                <w:b/>
                <w:bCs/>
                <w:sz w:val="20"/>
                <w:szCs w:val="20"/>
              </w:rPr>
              <w:t xml:space="preserve">Subtract rather than ask. </w:t>
            </w:r>
            <w:r>
              <w:rPr>
                <w:rFonts w:ascii="Times New Roman" w:cs="Times New Roman" w:eastAsia="Times New Roman" w:hAnsi="Times New Roman"/>
                <w:sz w:val="20"/>
                <w:szCs w:val="20"/>
              </w:rPr>
              <w:t xml:space="preserve">Time indoors at home — the largest single fraction of the week — is never asked. It is computed as the residual once outdoor, transit and school time are known.</w:t>
            </w:r>
          </w:p>
          <w:p>
            <w:pPr>
              <w:spacing w:after="60" w:before="0" w:line="276"/>
            </w:pPr>
            <w:r>
              <w:rPr>
                <w:rFonts w:ascii="Times New Roman" w:cs="Times New Roman" w:eastAsia="Times New Roman" w:hAnsi="Times New Roman"/>
                <w:b/>
                <w:bCs/>
                <w:sz w:val="20"/>
                <w:szCs w:val="20"/>
              </w:rPr>
              <w:t xml:space="preserve">Look it up rather than ask. </w:t>
            </w:r>
            <w:r>
              <w:rPr>
                <w:rFonts w:ascii="Times New Roman" w:cs="Times New Roman" w:eastAsia="Times New Roman" w:hAnsi="Times New Roman"/>
                <w:sz w:val="20"/>
                <w:szCs w:val="20"/>
              </w:rPr>
              <w:t xml:space="preserve">School hours and days come from the district bell schedule and instructional calendar, not from the parent.</w:t>
            </w:r>
          </w:p>
          <w:p>
            <w:pPr>
              <w:spacing w:after="0" w:before="0" w:line="276"/>
            </w:pPr>
            <w:r>
              <w:rPr>
                <w:rFonts w:ascii="Times New Roman" w:cs="Times New Roman" w:eastAsia="Times New Roman" w:hAnsi="Times New Roman"/>
                <w:b/>
                <w:bCs/>
                <w:sz w:val="20"/>
                <w:szCs w:val="20"/>
              </w:rPr>
              <w:t xml:space="preserve">Reuse rather than duplicate. </w:t>
            </w:r>
            <w:r>
              <w:rPr>
                <w:rFonts w:ascii="Times New Roman" w:cs="Times New Roman" w:eastAsia="Times New Roman" w:hAnsi="Times New Roman"/>
                <w:sz w:val="20"/>
                <w:szCs w:val="20"/>
              </w:rPr>
              <w:t xml:space="preserve">Nothing already in production is asked again. Cooking fuel, air-conditioning type, smoking, mould, pets, both addresses and the home-versus-home time split are all read from existing fields.</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2.  The instrument as the participant sees it</w:t>
      </w:r>
    </w:p>
    <w:p>
      <w:pPr>
        <w:spacing w:after="60"/>
      </w:pPr>
      <w:r>
        <w:t xml:space="preserve"/>
      </w:r>
    </w:p>
    <w:tbl>
      <w:tblPr>
        <w:tblW w:type="dxa" w:w="10080"/>
        <w:tblBorders>
          <w:top w:val="none"/>
          <w:left w:val="none"/>
          <w:bottom w:val="single" w:color="2E6B8A" w:sz="12"/>
          <w:right w:val="none"/>
          <w:insideH w:val="none"/>
          <w:insideV w:val="none"/>
        </w:tblBorders>
      </w:tblPr>
      <w:tblGrid>
        <w:gridCol w:w="10080"/>
      </w:tblGrid>
      <w:tr>
        <w:tc>
          <w:tcPr>
            <w:tcW w:type="dxa" w:w="10080"/>
            <w:shd w:fill="F5F7F9" w:color="auto" w:val="clear"/>
            <w:tcMar>
              <w:top w:type="dxa" w:w="110"/>
              <w:left w:type="dxa" w:w="170"/>
              <w:bottom w:type="dxa" w:w="110"/>
              <w:right w:type="dxa" w:w="170"/>
            </w:tcMar>
          </w:tcPr>
          <w:p>
            <w:pPr>
              <w:spacing w:after="0" w:before="0" w:line="276"/>
            </w:pPr>
            <w:r>
              <w:rPr>
                <w:rFonts w:ascii="Times New Roman" w:cs="Times New Roman" w:eastAsia="Times New Roman" w:hAnsi="Times New Roman"/>
                <w:b/>
                <w:bCs/>
                <w:color w:val="213C4E"/>
                <w:sz w:val="24"/>
                <w:szCs w:val="24"/>
              </w:rPr>
              <w:t xml:space="preserve">Where your child spends time</w:t>
            </w:r>
          </w:p>
        </w:tc>
      </w:tr>
    </w:tbl>
    <w:p>
      <w:pPr>
        <w:spacing w:after="60"/>
      </w:pPr>
      <w:r>
        <w:t xml:space="preserve"/>
      </w:r>
    </w:p>
    <w:p>
      <w:pPr>
        <w:spacing w:after="40" w:before="0" w:line="276"/>
      </w:pPr>
      <w:r>
        <w:rPr>
          <w:rFonts w:ascii="Consolas" w:cs="Consolas" w:eastAsia="Consolas" w:hAnsi="Consolas"/>
          <w:color w:val="999999"/>
          <w:sz w:val="17"/>
          <w:szCs w:val="17"/>
        </w:rPr>
        <w:t xml:space="preserve">iei_intro_time</w:t>
      </w:r>
      <w:r>
        <w:rPr>
          <w:rFonts w:ascii="Consolas" w:cs="Consolas" w:eastAsia="Consolas" w:hAnsi="Consolas"/>
          <w:color w:val="999999"/>
          <w:sz w:val="17"/>
          <w:szCs w:val="17"/>
        </w:rPr>
        <w:t xml:space="preserve">   ·   descriptive</w:t>
      </w:r>
    </w:p>
    <w:p>
      <w:pPr>
        <w:spacing w:after="140" w:before="0" w:line="276"/>
      </w:pPr>
      <w:r>
        <w:rPr>
          <w:rFonts w:ascii="Times New Roman" w:cs="Times New Roman" w:eastAsia="Times New Roman" w:hAnsi="Times New Roman"/>
          <w:i/>
          <w:iCs/>
          <w:sz w:val="22"/>
          <w:szCs w:val="22"/>
        </w:rPr>
        <w:t xml:space="preserve">These questions help us understand where your child spends their day, so we can estimate the air they breathe. There are no right or wrong answers — your best estimate is exactly what we need.</w:t>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iei_out_wd</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all participants</w:t>
                  </w:r>
                </w:p>
              </w:tc>
            </w:tr>
          </w:tbl>
          <w:p/>
        </w:tc>
      </w:tr>
      <w:tr>
        <w:tc>
          <w:tcPr>
            <w:tcW w:type="dxa" w:w="10080"/>
            <w:tcMar>
              <w:top w:type="dxa" w:w="130"/>
              <w:left w:type="dxa" w:w="170"/>
              <w:bottom w:type="dxa" w:w="130"/>
              <w:right w:type="dxa" w:w="170"/>
            </w:tcMar>
          </w:tcPr>
          <w:p>
            <w:pPr>
              <w:spacing w:after="40" w:before="0" w:line="264"/>
            </w:pPr>
            <w:r>
              <w:rPr>
                <w:rFonts w:ascii="Times New Roman" w:cs="Times New Roman" w:eastAsia="Times New Roman" w:hAnsi="Times New Roman"/>
                <w:b/>
                <w:bCs/>
                <w:color w:val="213C4E"/>
                <w:sz w:val="22"/>
                <w:szCs w:val="22"/>
              </w:rPr>
              <w:t xml:space="preserve">1.  </w:t>
            </w:r>
            <w:r>
              <w:rPr>
                <w:rFonts w:ascii="Times New Roman" w:cs="Times New Roman" w:eastAsia="Times New Roman" w:hAnsi="Times New Roman"/>
                <w:b/>
                <w:bCs/>
                <w:sz w:val="22"/>
                <w:szCs w:val="22"/>
              </w:rPr>
              <w:t xml:space="preserve">On a typical school day, about how much time does your child spend OUTSIDE?</w:t>
            </w:r>
          </w:p>
          <w:p>
            <w:pPr>
              <w:spacing w:after="90" w:before="0" w:line="240"/>
            </w:pPr>
            <w:r>
              <w:rPr>
                <w:rFonts w:ascii="Times New Roman" w:cs="Times New Roman" w:eastAsia="Times New Roman" w:hAnsi="Times New Roman"/>
                <w:i/>
                <w:iCs/>
                <w:color w:val="555555"/>
                <w:sz w:val="19"/>
                <w:szCs w:val="19"/>
              </w:rPr>
              <w:t xml:space="preserve">Include playing outside, recess, walking, sports practice, and time in the yard.</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Less than 30 minutes</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1 hour</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2 hours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3 hours</w:t>
            </w:r>
            <w:r>
              <w:rPr>
                <w:rFonts w:ascii="Consolas" w:cs="Consolas" w:eastAsia="Consolas" w:hAnsi="Consolas"/>
                <w:color w:val="999999"/>
                <w:sz w:val="16"/>
                <w:szCs w:val="16"/>
              </w:rPr>
              <w:t xml:space="preserve">     4</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4 hours or more</w:t>
            </w:r>
            <w:r>
              <w:rPr>
                <w:rFonts w:ascii="Consolas" w:cs="Consolas" w:eastAsia="Consolas" w:hAnsi="Consolas"/>
                <w:color w:val="999999"/>
                <w:sz w:val="16"/>
                <w:szCs w:val="16"/>
              </w:rPr>
              <w:t xml:space="preserve">     5</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iei_out_we</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all participants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2.  </w:t>
            </w:r>
            <w:r>
              <w:rPr>
                <w:rFonts w:ascii="Times New Roman" w:cs="Times New Roman" w:eastAsia="Times New Roman" w:hAnsi="Times New Roman"/>
                <w:b/>
                <w:bCs/>
                <w:sz w:val="22"/>
                <w:szCs w:val="22"/>
              </w:rPr>
              <w:t xml:space="preserve">On a typical weekend day, about how much time does your child spend OUTSIDE?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Less than 30 minutes</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1 hour</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2 hours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3 hours</w:t>
            </w:r>
            <w:r>
              <w:rPr>
                <w:rFonts w:ascii="Consolas" w:cs="Consolas" w:eastAsia="Consolas" w:hAnsi="Consolas"/>
                <w:color w:val="999999"/>
                <w:sz w:val="16"/>
                <w:szCs w:val="16"/>
              </w:rPr>
              <w:t xml:space="preserve">     4</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4 hours or more</w:t>
            </w:r>
            <w:r>
              <w:rPr>
                <w:rFonts w:ascii="Consolas" w:cs="Consolas" w:eastAsia="Consolas" w:hAnsi="Consolas"/>
                <w:color w:val="999999"/>
                <w:sz w:val="16"/>
                <w:szCs w:val="16"/>
              </w:rPr>
              <w:t xml:space="preserve">     5</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iei_out_when</w:t>
                  </w:r>
                  <w:r>
                    <w:rPr>
                      <w:rFonts w:ascii="Consolas" w:cs="Consolas" w:eastAsia="Consolas" w:hAnsi="Consolas"/>
                      <w:color w:val="B8CDD9"/>
                      <w:sz w:val="17"/>
                      <w:szCs w:val="17"/>
                    </w:rPr>
                    <w:t xml:space="preserve">   ·   checkbox</w:t>
                  </w:r>
                  <w:r>
                    <w:rPr>
                      <w:rFonts w:ascii="Consolas" w:cs="Consolas" w:eastAsia="Consolas" w:hAnsi="Consolas"/>
                      <w:color w:val="B8CDD9"/>
                      <w:sz w:val="17"/>
                      <w:szCs w:val="17"/>
                    </w:rPr>
                    <w:t xml:space="preserve">   ·   optional</w:t>
                  </w:r>
                  <w:r>
                    <w:rPr>
                      <w:rFonts w:ascii="Consolas" w:cs="Consolas" w:eastAsia="Consolas" w:hAnsi="Consolas"/>
                      <w:color w:val="B8CDD9"/>
                      <w:sz w:val="17"/>
                      <w:szCs w:val="17"/>
                    </w:rPr>
                    <w:t xml:space="preserve">   ·   unless rarely outdoors</w:t>
                  </w:r>
                </w:p>
              </w:tc>
            </w:tr>
          </w:tbl>
          <w:p/>
        </w:tc>
      </w:tr>
      <w:tr>
        <w:tc>
          <w:tcPr>
            <w:tcW w:type="dxa" w:w="10080"/>
            <w:tcMar>
              <w:top w:type="dxa" w:w="130"/>
              <w:left w:type="dxa" w:w="170"/>
              <w:bottom w:type="dxa" w:w="130"/>
              <w:right w:type="dxa" w:w="170"/>
            </w:tcMar>
          </w:tcPr>
          <w:p>
            <w:pPr>
              <w:spacing w:after="40" w:before="0" w:line="264"/>
            </w:pPr>
            <w:r>
              <w:rPr>
                <w:rFonts w:ascii="Times New Roman" w:cs="Times New Roman" w:eastAsia="Times New Roman" w:hAnsi="Times New Roman"/>
                <w:b/>
                <w:bCs/>
                <w:color w:val="213C4E"/>
                <w:sz w:val="22"/>
                <w:szCs w:val="22"/>
              </w:rPr>
              <w:t xml:space="preserve">3.  </w:t>
            </w:r>
            <w:r>
              <w:rPr>
                <w:rFonts w:ascii="Times New Roman" w:cs="Times New Roman" w:eastAsia="Times New Roman" w:hAnsi="Times New Roman"/>
                <w:b/>
                <w:bCs/>
                <w:sz w:val="22"/>
                <w:szCs w:val="22"/>
              </w:rPr>
              <w:t xml:space="preserve">When your child is outside, what times of day is that usually?</w:t>
            </w:r>
          </w:p>
          <w:p>
            <w:pPr>
              <w:spacing w:after="90" w:before="0" w:line="240"/>
            </w:pPr>
            <w:r>
              <w:rPr>
                <w:rFonts w:ascii="Times New Roman" w:cs="Times New Roman" w:eastAsia="Times New Roman" w:hAnsi="Times New Roman"/>
                <w:i/>
                <w:iCs/>
                <w:color w:val="555555"/>
                <w:sz w:val="19"/>
                <w:szCs w:val="19"/>
              </w:rPr>
              <w:t xml:space="preserve">Check all that apply.</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Early morning — before 10 AM</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Midday — 10 AM to 2 PM</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Afternoon — 2 PM to 6 PM</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Evening — after 6 PM</w:t>
            </w:r>
            <w:r>
              <w:rPr>
                <w:rFonts w:ascii="Consolas" w:cs="Consolas" w:eastAsia="Consolas" w:hAnsi="Consolas"/>
                <w:color w:val="999999"/>
                <w:sz w:val="16"/>
                <w:szCs w:val="16"/>
              </w:rPr>
              <w:t xml:space="preserve">     4</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iei_transit</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all participants</w:t>
                  </w:r>
                </w:p>
              </w:tc>
            </w:tr>
          </w:tbl>
          <w:p/>
        </w:tc>
      </w:tr>
      <w:tr>
        <w:tc>
          <w:tcPr>
            <w:tcW w:type="dxa" w:w="10080"/>
            <w:tcMar>
              <w:top w:type="dxa" w:w="130"/>
              <w:left w:type="dxa" w:w="170"/>
              <w:bottom w:type="dxa" w:w="130"/>
              <w:right w:type="dxa" w:w="170"/>
            </w:tcMar>
          </w:tcPr>
          <w:p>
            <w:pPr>
              <w:spacing w:after="40" w:before="0" w:line="264"/>
            </w:pPr>
            <w:r>
              <w:rPr>
                <w:rFonts w:ascii="Times New Roman" w:cs="Times New Roman" w:eastAsia="Times New Roman" w:hAnsi="Times New Roman"/>
                <w:b/>
                <w:bCs/>
                <w:color w:val="213C4E"/>
                <w:sz w:val="22"/>
                <w:szCs w:val="22"/>
              </w:rPr>
              <w:t xml:space="preserve">4.  </w:t>
            </w:r>
            <w:r>
              <w:rPr>
                <w:rFonts w:ascii="Times New Roman" w:cs="Times New Roman" w:eastAsia="Times New Roman" w:hAnsi="Times New Roman"/>
                <w:b/>
                <w:bCs/>
                <w:sz w:val="22"/>
                <w:szCs w:val="22"/>
              </w:rPr>
              <w:t xml:space="preserve">On a typical day, about how much time does your child spend riding in a car, bus, or truck?</w:t>
            </w:r>
          </w:p>
          <w:p>
            <w:pPr>
              <w:spacing w:after="90" w:before="0" w:line="240"/>
            </w:pPr>
            <w:r>
              <w:rPr>
                <w:rFonts w:ascii="Times New Roman" w:cs="Times New Roman" w:eastAsia="Times New Roman" w:hAnsi="Times New Roman"/>
                <w:i/>
                <w:iCs/>
                <w:color w:val="555555"/>
                <w:sz w:val="19"/>
                <w:szCs w:val="19"/>
              </w:rPr>
              <w:t xml:space="preserve">Count all trips together — to school, to appointments, errands, and back.</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Less than 15 minutes</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30 minutes</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1 hour</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2 hours</w:t>
            </w:r>
            <w:r>
              <w:rPr>
                <w:rFonts w:ascii="Consolas" w:cs="Consolas" w:eastAsia="Consolas" w:hAnsi="Consolas"/>
                <w:color w:val="999999"/>
                <w:sz w:val="16"/>
                <w:szCs w:val="16"/>
              </w:rPr>
              <w:t xml:space="preserve">     4</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More than 2 hours</w:t>
            </w:r>
            <w:r>
              <w:rPr>
                <w:rFonts w:ascii="Consolas" w:cs="Consolas" w:eastAsia="Consolas" w:hAnsi="Consolas"/>
                <w:color w:val="999999"/>
                <w:sz w:val="16"/>
                <w:szCs w:val="16"/>
              </w:rPr>
              <w:t xml:space="preserve">     5</w:t>
            </w:r>
          </w:p>
        </w:tc>
      </w:tr>
    </w:tbl>
    <w:p>
      <w:pPr>
        <w:spacing w:after="200"/>
      </w:pPr>
      <w:r>
        <w:t xml:space="preserve"/>
      </w:r>
    </w:p>
    <w:tbl>
      <w:tblPr>
        <w:tblW w:type="dxa" w:w="10080"/>
        <w:tblBorders>
          <w:top w:val="none"/>
          <w:left w:val="none"/>
          <w:bottom w:val="single" w:color="2E6B8A" w:sz="12"/>
          <w:right w:val="none"/>
          <w:insideH w:val="none"/>
          <w:insideV w:val="none"/>
        </w:tblBorders>
      </w:tblPr>
      <w:tblGrid>
        <w:gridCol w:w="10080"/>
      </w:tblGrid>
      <w:tr>
        <w:tc>
          <w:tcPr>
            <w:tcW w:type="dxa" w:w="10080"/>
            <w:shd w:fill="F5F7F9" w:color="auto" w:val="clear"/>
            <w:tcMar>
              <w:top w:type="dxa" w:w="110"/>
              <w:left w:type="dxa" w:w="170"/>
              <w:bottom w:type="dxa" w:w="110"/>
              <w:right w:type="dxa" w:w="170"/>
            </w:tcMar>
          </w:tcPr>
          <w:p>
            <w:pPr>
              <w:spacing w:after="0" w:before="0" w:line="276"/>
            </w:pPr>
            <w:r>
              <w:rPr>
                <w:rFonts w:ascii="Times New Roman" w:cs="Times New Roman" w:eastAsia="Times New Roman" w:hAnsi="Times New Roman"/>
                <w:b/>
                <w:bCs/>
                <w:color w:val="213C4E"/>
                <w:sz w:val="24"/>
                <w:szCs w:val="24"/>
              </w:rPr>
              <w:t xml:space="preserve">Your home</w:t>
            </w:r>
          </w:p>
        </w:tc>
      </w:tr>
    </w:tbl>
    <w:p>
      <w:pPr>
        <w:spacing w:after="60"/>
      </w:pPr>
      <w:r>
        <w:t xml:space="preserve"/>
      </w:r>
    </w:p>
    <w:p>
      <w:pPr>
        <w:spacing w:after="40" w:before="0" w:line="276"/>
      </w:pPr>
      <w:r>
        <w:rPr>
          <w:rFonts w:ascii="Consolas" w:cs="Consolas" w:eastAsia="Consolas" w:hAnsi="Consolas"/>
          <w:color w:val="999999"/>
          <w:sz w:val="17"/>
          <w:szCs w:val="17"/>
        </w:rPr>
        <w:t xml:space="preserve">iei_intro_home</w:t>
      </w:r>
      <w:r>
        <w:rPr>
          <w:rFonts w:ascii="Consolas" w:cs="Consolas" w:eastAsia="Consolas" w:hAnsi="Consolas"/>
          <w:color w:val="999999"/>
          <w:sz w:val="17"/>
          <w:szCs w:val="17"/>
        </w:rPr>
        <w:t xml:space="preserve">   ·   descriptive</w:t>
      </w:r>
    </w:p>
    <w:p>
      <w:pPr>
        <w:spacing w:after="140" w:before="0" w:line="276"/>
      </w:pPr>
      <w:r>
        <w:rPr>
          <w:rFonts w:ascii="Times New Roman" w:cs="Times New Roman" w:eastAsia="Times New Roman" w:hAnsi="Times New Roman"/>
          <w:i/>
          <w:iCs/>
          <w:sz w:val="22"/>
          <w:szCs w:val="22"/>
        </w:rPr>
        <w:t xml:space="preserve">These last few questions are about how air moves through your home.</w:t>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iei_windows</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all participants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5.  </w:t>
            </w:r>
            <w:r>
              <w:rPr>
                <w:rFonts w:ascii="Times New Roman" w:cs="Times New Roman" w:eastAsia="Times New Roman" w:hAnsi="Times New Roman"/>
                <w:b/>
                <w:bCs/>
                <w:sz w:val="22"/>
                <w:szCs w:val="22"/>
              </w:rPr>
              <w:t xml:space="preserve">How often are the windows open in your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Rarely or never</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 few hours a week</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 few hours on most days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Open most of the day</w:t>
            </w:r>
            <w:r>
              <w:rPr>
                <w:rFonts w:ascii="Consolas" w:cs="Consolas" w:eastAsia="Consolas" w:hAnsi="Consolas"/>
                <w:color w:val="999999"/>
                <w:sz w:val="16"/>
                <w:szCs w:val="16"/>
              </w:rPr>
              <w:t xml:space="preserve">     4</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iei_ac_use</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unless ac_type = none</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6.  </w:t>
            </w:r>
            <w:r>
              <w:rPr>
                <w:rFonts w:ascii="Times New Roman" w:cs="Times New Roman" w:eastAsia="Times New Roman" w:hAnsi="Times New Roman"/>
                <w:b/>
                <w:bCs/>
                <w:sz w:val="22"/>
                <w:szCs w:val="22"/>
              </w:rPr>
              <w:t xml:space="preserve">During warm months, how often is the air conditioning running in your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Nearly all the time</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Most of the time</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Sometimes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Rarely or never</w:t>
            </w:r>
            <w:r>
              <w:rPr>
                <w:rFonts w:ascii="Consolas" w:cs="Consolas" w:eastAsia="Consolas" w:hAnsi="Consolas"/>
                <w:color w:val="999999"/>
                <w:sz w:val="16"/>
                <w:szCs w:val="16"/>
              </w:rPr>
              <w:t xml:space="preserve">     4</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iei_stove_freq</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gas-cooking households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7.  </w:t>
            </w:r>
            <w:r>
              <w:rPr>
                <w:rFonts w:ascii="Times New Roman" w:cs="Times New Roman" w:eastAsia="Times New Roman" w:hAnsi="Times New Roman"/>
                <w:b/>
                <w:bCs/>
                <w:sz w:val="22"/>
                <w:szCs w:val="22"/>
              </w:rPr>
              <w:t xml:space="preserve">How often is the stove or oven used for cooking in your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Two or more times a day</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About once a day</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Several times a week</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Once a week or less</w:t>
            </w:r>
            <w:r>
              <w:rPr>
                <w:rFonts w:ascii="Consolas" w:cs="Consolas" w:eastAsia="Consolas" w:hAnsi="Consolas"/>
                <w:color w:val="999999"/>
                <w:sz w:val="16"/>
                <w:szCs w:val="16"/>
              </w:rPr>
              <w:t xml:space="preserve">     4</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iei_purifier</w:t>
                  </w:r>
                  <w:r>
                    <w:rPr>
                      <w:rFonts w:ascii="Consolas" w:cs="Consolas" w:eastAsia="Consolas" w:hAnsi="Consolas"/>
                      <w:color w:val="B8CDD9"/>
                      <w:sz w:val="17"/>
                      <w:szCs w:val="17"/>
                    </w:rPr>
                    <w:t xml:space="preserve">   ·   yesno</w:t>
                  </w:r>
                  <w:r>
                    <w:rPr>
                      <w:rFonts w:ascii="Consolas" w:cs="Consolas" w:eastAsia="Consolas" w:hAnsi="Consolas"/>
                      <w:color w:val="B8CDD9"/>
                      <w:sz w:val="17"/>
                      <w:szCs w:val="17"/>
                    </w:rPr>
                    <w:t xml:space="preserve">   ·   required</w:t>
                  </w:r>
                  <w:r>
                    <w:rPr>
                      <w:rFonts w:ascii="Consolas" w:cs="Consolas" w:eastAsia="Consolas" w:hAnsi="Consolas"/>
                      <w:color w:val="B8CDD9"/>
                      <w:sz w:val="17"/>
                      <w:szCs w:val="17"/>
                    </w:rPr>
                    <w:t xml:space="preserve">   ·   all participants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8.  </w:t>
            </w:r>
            <w:r>
              <w:rPr>
                <w:rFonts w:ascii="Times New Roman" w:cs="Times New Roman" w:eastAsia="Times New Roman" w:hAnsi="Times New Roman"/>
                <w:b/>
                <w:bCs/>
                <w:sz w:val="22"/>
                <w:szCs w:val="22"/>
              </w:rPr>
              <w:t xml:space="preserve">Do you use an air purifier or air cleaner in your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Yes</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No</w:t>
            </w:r>
            <w:r>
              <w:rPr>
                <w:rFonts w:ascii="Consolas" w:cs="Consolas" w:eastAsia="Consolas" w:hAnsi="Consolas"/>
                <w:color w:val="999999"/>
                <w:sz w:val="16"/>
                <w:szCs w:val="16"/>
              </w:rPr>
              <w:t xml:space="preserve">     0</w:t>
            </w:r>
          </w:p>
        </w:tc>
      </w:tr>
    </w:tbl>
    <w:p>
      <w:r>
        <w:br w:type="page"/>
      </w:r>
    </w:p>
    <w:tbl>
      <w:tblPr>
        <w:tblW w:type="dxa" w:w="10080"/>
        <w:tblBorders>
          <w:top w:val="none"/>
          <w:left w:val="none"/>
          <w:bottom w:val="single" w:color="2E6B8A" w:sz="12"/>
          <w:right w:val="none"/>
          <w:insideH w:val="none"/>
          <w:insideV w:val="none"/>
        </w:tblBorders>
      </w:tblPr>
      <w:tblGrid>
        <w:gridCol w:w="10080"/>
      </w:tblGrid>
      <w:tr>
        <w:tc>
          <w:tcPr>
            <w:tcW w:type="dxa" w:w="10080"/>
            <w:shd w:fill="F5F7F9" w:color="auto" w:val="clear"/>
            <w:tcMar>
              <w:top w:type="dxa" w:w="110"/>
              <w:left w:type="dxa" w:w="170"/>
              <w:bottom w:type="dxa" w:w="110"/>
              <w:right w:type="dxa" w:w="170"/>
            </w:tcMar>
          </w:tcPr>
          <w:p>
            <w:pPr>
              <w:spacing w:after="0" w:before="0" w:line="276"/>
            </w:pPr>
            <w:r>
              <w:rPr>
                <w:rFonts w:ascii="Times New Roman" w:cs="Times New Roman" w:eastAsia="Times New Roman" w:hAnsi="Times New Roman"/>
                <w:b/>
                <w:bCs/>
                <w:color w:val="213C4E"/>
                <w:sz w:val="24"/>
                <w:szCs w:val="24"/>
              </w:rPr>
              <w:t xml:space="preserve">The other home</w:t>
            </w:r>
          </w:p>
        </w:tc>
      </w:tr>
    </w:tbl>
    <w:p>
      <w:pPr>
        <w:spacing w:after="60"/>
      </w:pPr>
      <w:r>
        <w:t xml:space="preserve"/>
      </w:r>
    </w:p>
    <w:p>
      <w:pPr>
        <w:spacing w:after="140" w:before="0" w:line="276"/>
      </w:pPr>
      <w:r>
        <w:rPr>
          <w:rFonts w:ascii="Times New Roman" w:cs="Times New Roman" w:eastAsia="Times New Roman" w:hAnsi="Times New Roman"/>
          <w:i/>
          <w:iCs/>
          <w:color w:val="555555"/>
          <w:sz w:val="20"/>
          <w:szCs w:val="20"/>
        </w:rPr>
        <w:t xml:space="preserve">Shown only when </w:t>
      </w:r>
      <w:r>
        <w:rPr>
          <w:rFonts w:ascii="Consolas" w:cs="Consolas" w:eastAsia="Consolas" w:hAnsi="Consolas"/>
          <w:color w:val="555555"/>
          <w:sz w:val="19"/>
          <w:szCs w:val="19"/>
        </w:rPr>
        <w:t xml:space="preserve">multi_household_custody = "1"</w:t>
      </w:r>
      <w:r>
        <w:rPr>
          <w:rFonts w:ascii="Times New Roman" w:cs="Times New Roman" w:eastAsia="Times New Roman" w:hAnsi="Times New Roman"/>
          <w:i/>
          <w:iCs/>
          <w:color w:val="555555"/>
          <w:sz w:val="20"/>
          <w:szCs w:val="20"/>
        </w:rPr>
        <w:t xml:space="preserve"> — roughly one participant in four. The address, cooking fuel, air-conditioning type, smoking status and mould history of the second home are already collected in secondary_household_details and are not asked again.</w:t>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iei_sec_windows</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optional</w:t>
                  </w:r>
                  <w:r>
                    <w:rPr>
                      <w:rFonts w:ascii="Consolas" w:cs="Consolas" w:eastAsia="Consolas" w:hAnsi="Consolas"/>
                      <w:color w:val="B8CDD9"/>
                      <w:sz w:val="17"/>
                      <w:szCs w:val="17"/>
                    </w:rPr>
                    <w:t xml:space="preserve">   ·   two-household families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9.  </w:t>
            </w:r>
            <w:r>
              <w:rPr>
                <w:rFonts w:ascii="Times New Roman" w:cs="Times New Roman" w:eastAsia="Times New Roman" w:hAnsi="Times New Roman"/>
                <w:b/>
                <w:bCs/>
                <w:sz w:val="22"/>
                <w:szCs w:val="22"/>
              </w:rPr>
              <w:t xml:space="preserve">How often are the windows open at the other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Rarely or never</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 few hours a week</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A few hours on most days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Open most of the day</w:t>
            </w:r>
            <w:r>
              <w:rPr>
                <w:rFonts w:ascii="Consolas" w:cs="Consolas" w:eastAsia="Consolas" w:hAnsi="Consolas"/>
                <w:color w:val="999999"/>
                <w:sz w:val="16"/>
                <w:szCs w:val="16"/>
              </w:rPr>
              <w:t xml:space="preserve">     4</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Not sure</w:t>
            </w:r>
            <w:r>
              <w:rPr>
                <w:rFonts w:ascii="Consolas" w:cs="Consolas" w:eastAsia="Consolas" w:hAnsi="Consolas"/>
                <w:color w:val="999999"/>
                <w:sz w:val="16"/>
                <w:szCs w:val="16"/>
              </w:rPr>
              <w:t xml:space="preserve">     5</w:t>
            </w:r>
          </w:p>
        </w:tc>
      </w:tr>
    </w:tbl>
    <w:p>
      <w:pPr>
        <w:spacing w:after="100"/>
      </w:pPr>
      <w:r>
        <w:t xml:space="preserve"/>
      </w:r>
    </w:p>
    <w:tbl>
      <w:tblPr>
        <w:tblW w:type="dxa" w:w="10080"/>
        <w:tblBorders>
          <w:top w:val="single" w:color="CCCCCC" w:sz="4"/>
          <w:left w:val="single" w:color="CCCCCC" w:sz="4"/>
          <w:bottom w:val="single" w:color="CCCCCC" w:sz="4"/>
          <w:right w:val="single" w:color="CCCCCC" w:sz="4"/>
          <w:insideH w:val="none"/>
          <w:insideV w:val="none"/>
        </w:tblBorders>
      </w:tblPr>
      <w:tblGrid>
        <w:gridCol w:w="10080"/>
      </w:tblGrid>
      <w:tr>
        <w:tc>
          <w:tcPr>
            <w:tcW w:type="dxa" w:w="10080"/>
            <w:tcMar>
              <w:top w:type="dxa" w:w="0"/>
              <w:left w:type="dxa" w:w="0"/>
              <w:bottom w:type="dxa" w:w="0"/>
              <w:right w:type="dxa" w:w="0"/>
            </w:tcMar>
          </w:tcPr>
          <w:tbl>
            <w:tblPr>
              <w:tblW w:type="dxa" w:w="10060"/>
              <w:tblBorders>
                <w:top w:val="none"/>
                <w:left w:val="none"/>
                <w:bottom w:val="none"/>
                <w:right w:val="none"/>
                <w:insideH w:val="none"/>
                <w:insideV w:val="none"/>
              </w:tblBorders>
            </w:tblPr>
            <w:tblGrid>
              <w:gridCol w:w="10060"/>
            </w:tblGrid>
            <w:tr>
              <w:tc>
                <w:tcPr>
                  <w:tcW w:type="dxa" w:w="10060"/>
                  <w:shd w:fill="213C4E" w:color="auto" w:val="clear"/>
                  <w:tcMar>
                    <w:top w:type="dxa" w:w="50"/>
                    <w:left w:type="dxa" w:w="130"/>
                    <w:bottom w:type="dxa" w:w="50"/>
                    <w:right w:type="dxa" w:w="130"/>
                  </w:tcMar>
                </w:tcPr>
                <w:p>
                  <w:pPr>
                    <w:spacing w:after="0" w:before="0" w:line="200"/>
                  </w:pPr>
                  <w:r>
                    <w:rPr>
                      <w:rFonts w:ascii="Consolas" w:cs="Consolas" w:eastAsia="Consolas" w:hAnsi="Consolas"/>
                      <w:b/>
                      <w:bCs/>
                      <w:color w:val="FFFFFF"/>
                      <w:sz w:val="17"/>
                      <w:szCs w:val="17"/>
                    </w:rPr>
                    <w:t xml:space="preserve">iei_sec_ac_use</w:t>
                  </w:r>
                  <w:r>
                    <w:rPr>
                      <w:rFonts w:ascii="Consolas" w:cs="Consolas" w:eastAsia="Consolas" w:hAnsi="Consolas"/>
                      <w:color w:val="B8CDD9"/>
                      <w:sz w:val="17"/>
                      <w:szCs w:val="17"/>
                    </w:rPr>
                    <w:t xml:space="preserve">   ·   radio</w:t>
                  </w:r>
                  <w:r>
                    <w:rPr>
                      <w:rFonts w:ascii="Consolas" w:cs="Consolas" w:eastAsia="Consolas" w:hAnsi="Consolas"/>
                      <w:color w:val="B8CDD9"/>
                      <w:sz w:val="17"/>
                      <w:szCs w:val="17"/>
                    </w:rPr>
                    <w:t xml:space="preserve">   ·   optional</w:t>
                  </w:r>
                  <w:r>
                    <w:rPr>
                      <w:rFonts w:ascii="Consolas" w:cs="Consolas" w:eastAsia="Consolas" w:hAnsi="Consolas"/>
                      <w:color w:val="B8CDD9"/>
                      <w:sz w:val="17"/>
                      <w:szCs w:val="17"/>
                    </w:rPr>
                    <w:t xml:space="preserve">   ·   two-household families</w:t>
                  </w:r>
                </w:p>
              </w:tc>
            </w:tr>
          </w:tbl>
          <w:p/>
        </w:tc>
      </w:tr>
      <w:tr>
        <w:tc>
          <w:tcPr>
            <w:tcW w:type="dxa" w:w="10080"/>
            <w:tcMar>
              <w:top w:type="dxa" w:w="130"/>
              <w:left w:type="dxa" w:w="170"/>
              <w:bottom w:type="dxa" w:w="130"/>
              <w:right w:type="dxa" w:w="170"/>
            </w:tcMar>
          </w:tcPr>
          <w:p>
            <w:pPr>
              <w:spacing w:after="90" w:before="0" w:line="264"/>
            </w:pPr>
            <w:r>
              <w:rPr>
                <w:rFonts w:ascii="Times New Roman" w:cs="Times New Roman" w:eastAsia="Times New Roman" w:hAnsi="Times New Roman"/>
                <w:b/>
                <w:bCs/>
                <w:color w:val="213C4E"/>
                <w:sz w:val="22"/>
                <w:szCs w:val="22"/>
              </w:rPr>
              <w:t xml:space="preserve">10.  </w:t>
            </w:r>
            <w:r>
              <w:rPr>
                <w:rFonts w:ascii="Times New Roman" w:cs="Times New Roman" w:eastAsia="Times New Roman" w:hAnsi="Times New Roman"/>
                <w:b/>
                <w:bCs/>
                <w:sz w:val="22"/>
                <w:szCs w:val="22"/>
              </w:rPr>
              <w:t xml:space="preserve">During warm months, how often is the air conditioning running at the other home?</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Nearly all the time</w:t>
            </w:r>
            <w:r>
              <w:rPr>
                <w:rFonts w:ascii="Consolas" w:cs="Consolas" w:eastAsia="Consolas" w:hAnsi="Consolas"/>
                <w:color w:val="999999"/>
                <w:sz w:val="16"/>
                <w:szCs w:val="16"/>
              </w:rPr>
              <w:t xml:space="preserve">     1</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Most of the time</w:t>
            </w:r>
            <w:r>
              <w:rPr>
                <w:rFonts w:ascii="Consolas" w:cs="Consolas" w:eastAsia="Consolas" w:hAnsi="Consolas"/>
                <w:color w:val="999999"/>
                <w:sz w:val="16"/>
                <w:szCs w:val="16"/>
              </w:rPr>
              <w:t xml:space="preserve">     2</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Sometimes</w:t>
            </w:r>
            <w:r>
              <w:rPr>
                <w:rFonts w:ascii="Consolas" w:cs="Consolas" w:eastAsia="Consolas" w:hAnsi="Consolas"/>
                <w:color w:val="999999"/>
                <w:sz w:val="16"/>
                <w:szCs w:val="16"/>
              </w:rPr>
              <w:t xml:space="preserve">     3</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Rarely or never</w:t>
            </w:r>
            <w:r>
              <w:rPr>
                <w:rFonts w:ascii="Consolas" w:cs="Consolas" w:eastAsia="Consolas" w:hAnsi="Consolas"/>
                <w:color w:val="999999"/>
                <w:sz w:val="16"/>
                <w:szCs w:val="16"/>
              </w:rPr>
              <w:t xml:space="preserve">     4</w:t>
            </w:r>
          </w:p>
          <w:p>
            <w:pPr>
              <w:spacing w:after="30" w:before="0" w:line="240"/>
              <w:ind w:left="300"/>
            </w:pPr>
            <w:r>
              <w:rPr>
                <w:rFonts w:ascii="Times New Roman" w:cs="Times New Roman" w:eastAsia="Times New Roman" w:hAnsi="Times New Roman"/>
                <w:color w:val="2E6B8A"/>
                <w:sz w:val="21"/>
                <w:szCs w:val="21"/>
              </w:rPr>
              <w:t xml:space="preserve">○   </w:t>
            </w:r>
            <w:r>
              <w:rPr>
                <w:rFonts w:ascii="Times New Roman" w:cs="Times New Roman" w:eastAsia="Times New Roman" w:hAnsi="Times New Roman"/>
                <w:sz w:val="21"/>
                <w:szCs w:val="21"/>
              </w:rPr>
              <w:t xml:space="preserve">Not sure</w:t>
            </w:r>
            <w:r>
              <w:rPr>
                <w:rFonts w:ascii="Consolas" w:cs="Consolas" w:eastAsia="Consolas" w:hAnsi="Consolas"/>
                <w:color w:val="999999"/>
                <w:sz w:val="16"/>
                <w:szCs w:val="16"/>
              </w:rPr>
              <w:t xml:space="preserve">     5</w:t>
            </w:r>
          </w:p>
        </w:tc>
      </w:tr>
    </w:tbl>
    <w:p>
      <w:pPr>
        <w:spacing w:after="160"/>
      </w:pPr>
      <w:r>
        <w:t xml:space="preserve"/>
      </w:r>
    </w:p>
    <w:tbl>
      <w:tblPr>
        <w:tblW w:type="dxa" w:w="10080"/>
        <w:tblBorders>
          <w:top w:val="single" w:color="15803D" w:sz="4"/>
          <w:left w:val="single" w:color="15803D" w:sz="18"/>
          <w:bottom w:val="single" w:color="15803D" w:sz="4"/>
          <w:right w:val="single" w:color="15803D"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15803D"/>
                <w:sz w:val="21"/>
                <w:szCs w:val="21"/>
              </w:rPr>
              <w:t xml:space="preserve">That is the whole instrument</w:t>
            </w:r>
          </w:p>
          <w:p>
            <w:pPr>
              <w:spacing w:after="60" w:before="0" w:line="276"/>
            </w:pPr>
            <w:r>
              <w:rPr>
                <w:rFonts w:ascii="Times New Roman" w:cs="Times New Roman" w:eastAsia="Times New Roman" w:hAnsi="Times New Roman"/>
                <w:sz w:val="20"/>
                <w:szCs w:val="20"/>
              </w:rPr>
              <w:t xml:space="preserve">Ten questions. A family with one household and an electric stove sees six of them. A family with two households and gas cooking sees all ten. Nothing here asks for an address, a name, a date, or a place of work.</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3.  Branching logic</w:t>
      </w:r>
    </w:p>
    <w:p>
      <w:pPr>
        <w:spacing w:after="120" w:before="0" w:line="276"/>
      </w:pPr>
      <w:r>
        <w:rPr>
          <w:rFonts w:ascii="Times New Roman" w:cs="Times New Roman" w:eastAsia="Times New Roman" w:hAnsi="Times New Roman"/>
          <w:sz w:val="22"/>
          <w:szCs w:val="22"/>
        </w:rPr>
        <w:t xml:space="preserve">All conditions reference fields collected at baseline. If the instrument is mapped to a follow-up event rather than to baseline, each reference must carry the event prefix shown in the third column — REDCap will not resolve a cross-event reference without it.</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1900"/>
        <w:gridCol w:w="3800"/>
        <w:gridCol w:w="4380"/>
      </w:tblGrid>
      <w:tr>
        <w:trPr>
          <w:tblHeader/>
        </w:trPr>
        <w:tc>
          <w:tcPr>
            <w:tcW w:type="dxa" w:w="1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Item</w:t>
            </w:r>
          </w:p>
        </w:tc>
        <w:tc>
          <w:tcPr>
            <w:tcW w:type="dxa" w:w="38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Condition (same-event form)</w:t>
            </w:r>
          </w:p>
        </w:tc>
        <w:tc>
          <w:tcPr>
            <w:tcW w:type="dxa" w:w="43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Cross-event form</w:t>
            </w:r>
          </w:p>
        </w:tc>
      </w:tr>
      <w:tr>
        <w:tc>
          <w:tcPr>
            <w:tcW w:type="dxa" w:w="19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iei_out_when</w:t>
            </w:r>
          </w:p>
        </w:tc>
        <w:tc>
          <w:tcPr>
            <w:tcW w:type="dxa" w:w="38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[iei_out_wd] &lt;&gt; "1" or [iei_out_we] &lt;&gt; "1"</w:t>
            </w:r>
          </w:p>
        </w:tc>
        <w:tc>
          <w:tcPr>
            <w:tcW w:type="dxa" w:w="4380"/>
            <w:tcMar>
              <w:top w:type="dxa" w:w="70"/>
              <w:left w:type="dxa" w:w="110"/>
              <w:bottom w:type="dxa" w:w="70"/>
              <w:right w:type="dxa" w:w="110"/>
            </w:tcMar>
          </w:tcPr>
          <w:p>
            <w:pPr>
              <w:spacing w:after="0" w:before="0" w:line="240"/>
            </w:pPr>
            <w:r>
              <w:rPr>
                <w:rFonts w:ascii="Times New Roman" w:cs="Times New Roman" w:eastAsia="Times New Roman" w:hAnsi="Times New Roman"/>
                <w:i/>
                <w:iCs/>
                <w:color w:val="888888"/>
                <w:sz w:val="18"/>
                <w:szCs w:val="18"/>
              </w:rPr>
              <w:t xml:space="preserve">n/a — same instrument</w:t>
            </w:r>
          </w:p>
        </w:tc>
      </w:tr>
      <w:tr>
        <w:tc>
          <w:tcPr>
            <w:tcW w:type="dxa" w:w="19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iei_ac_use</w:t>
            </w:r>
          </w:p>
        </w:tc>
        <w:tc>
          <w:tcPr>
            <w:tcW w:type="dxa" w:w="38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[ac_type(4)] &lt;&gt; "1"</w:t>
            </w:r>
          </w:p>
        </w:tc>
        <w:tc>
          <w:tcPr>
            <w:tcW w:type="dxa" w:w="43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[baseline_arm_1][ac_type(4)] &lt;&gt; "1"</w:t>
            </w:r>
          </w:p>
        </w:tc>
      </w:tr>
      <w:tr>
        <w:tc>
          <w:tcPr>
            <w:tcW w:type="dxa" w:w="19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iei_stove_freq</w:t>
            </w:r>
          </w:p>
        </w:tc>
        <w:tc>
          <w:tcPr>
            <w:tcW w:type="dxa" w:w="3800"/>
            <w:tcMar>
              <w:top w:type="dxa" w:w="70"/>
              <w:left w:type="dxa" w:w="110"/>
              <w:bottom w:type="dxa" w:w="70"/>
              <w:right w:type="dxa" w:w="110"/>
            </w:tcMar>
          </w:tcPr>
          <w:p>
            <w:pPr>
              <w:spacing w:after="0" w:before="0" w:line="240"/>
            </w:pPr>
            <w:r>
              <w:rPr>
                <w:rFonts w:ascii="Consolas" w:cs="Consolas" w:eastAsia="Consolas" w:hAnsi="Consolas"/>
                <w:sz w:val="18"/>
                <w:szCs w:val="18"/>
              </w:rPr>
              <w:t xml:space="preserve">[cook_fuel(2)] = "1"</w:t>
            </w:r>
          </w:p>
        </w:tc>
        <w:tc>
          <w:tcPr>
            <w:tcW w:type="dxa" w:w="4380"/>
            <w:tcMar>
              <w:top w:type="dxa" w:w="70"/>
              <w:left w:type="dxa" w:w="110"/>
              <w:bottom w:type="dxa" w:w="70"/>
              <w:right w:type="dxa" w:w="110"/>
            </w:tcMar>
          </w:tcPr>
          <w:p>
            <w:pPr>
              <w:spacing w:after="0" w:before="0" w:line="240"/>
            </w:pPr>
            <w:r>
              <w:rPr>
                <w:rFonts w:ascii="Consolas" w:cs="Consolas" w:eastAsia="Consolas" w:hAnsi="Consolas"/>
                <w:sz w:val="18"/>
                <w:szCs w:val="18"/>
              </w:rPr>
              <w:t xml:space="preserve">[baseline_arm_1][cook_fuel(2)] = "1"</w:t>
            </w:r>
          </w:p>
        </w:tc>
      </w:tr>
      <w:tr>
        <w:tc>
          <w:tcPr>
            <w:tcW w:type="dxa" w:w="19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iei_sec_windows</w:t>
            </w:r>
          </w:p>
        </w:tc>
        <w:tc>
          <w:tcPr>
            <w:tcW w:type="dxa" w:w="38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[multi_household_custody] = "1"</w:t>
            </w:r>
          </w:p>
        </w:tc>
        <w:tc>
          <w:tcPr>
            <w:tcW w:type="dxa" w:w="43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[baseline_arm_1][multi_household_custody] = "1"</w:t>
            </w:r>
          </w:p>
        </w:tc>
      </w:tr>
      <w:tr>
        <w:tc>
          <w:tcPr>
            <w:tcW w:type="dxa" w:w="19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iei_sec_ac_use</w:t>
            </w:r>
          </w:p>
        </w:tc>
        <w:tc>
          <w:tcPr>
            <w:tcW w:type="dxa" w:w="3800"/>
            <w:tcMar>
              <w:top w:type="dxa" w:w="70"/>
              <w:left w:type="dxa" w:w="110"/>
              <w:bottom w:type="dxa" w:w="70"/>
              <w:right w:type="dxa" w:w="110"/>
            </w:tcMar>
          </w:tcPr>
          <w:p>
            <w:pPr>
              <w:spacing w:after="0" w:before="0" w:line="240"/>
            </w:pPr>
            <w:r>
              <w:rPr>
                <w:rFonts w:ascii="Consolas" w:cs="Consolas" w:eastAsia="Consolas" w:hAnsi="Consolas"/>
                <w:sz w:val="18"/>
                <w:szCs w:val="18"/>
              </w:rPr>
              <w:t xml:space="preserve">[multi_household_custody] = "1"</w:t>
            </w:r>
          </w:p>
        </w:tc>
        <w:tc>
          <w:tcPr>
            <w:tcW w:type="dxa" w:w="4380"/>
            <w:tcMar>
              <w:top w:type="dxa" w:w="70"/>
              <w:left w:type="dxa" w:w="110"/>
              <w:bottom w:type="dxa" w:w="70"/>
              <w:right w:type="dxa" w:w="110"/>
            </w:tcMar>
          </w:tcPr>
          <w:p>
            <w:pPr>
              <w:spacing w:after="0" w:before="0" w:line="240"/>
            </w:pPr>
            <w:r>
              <w:rPr>
                <w:rFonts w:ascii="Consolas" w:cs="Consolas" w:eastAsia="Consolas" w:hAnsi="Consolas"/>
                <w:sz w:val="18"/>
                <w:szCs w:val="18"/>
              </w:rPr>
              <w:t xml:space="preserve">[baseline_arm_1][multi_household_custody] = "1"</w:t>
            </w:r>
          </w:p>
        </w:tc>
      </w:tr>
    </w:tbl>
    <w:p>
      <w:pPr>
        <w:spacing w:after="120"/>
      </w:pPr>
      <w:r>
        <w:t xml:space="preserve"/>
      </w:r>
    </w:p>
    <w:p>
      <w:pPr>
        <w:spacing w:after="120" w:before="0" w:line="276"/>
      </w:pPr>
      <w:r>
        <w:rPr>
          <w:rFonts w:ascii="Times New Roman" w:cs="Times New Roman" w:eastAsia="Times New Roman" w:hAnsi="Times New Roman"/>
          <w:b/>
          <w:bCs/>
          <w:sz w:val="22"/>
          <w:szCs w:val="22"/>
        </w:rPr>
        <w:t xml:space="preserve">Two details worth checking at build time. </w:t>
      </w:r>
      <w:r>
        <w:rPr>
          <w:rFonts w:ascii="Times New Roman" w:cs="Times New Roman" w:eastAsia="Times New Roman" w:hAnsi="Times New Roman"/>
          <w:sz w:val="22"/>
          <w:szCs w:val="22"/>
        </w:rPr>
        <w:t xml:space="preserve">First, ac_type and cook_fuel are checkbox fields, so their conditions use the [field(code)] = "1" form rather than an equality on the field itself; ac_type choice 4 is “No air conditioning” and cook_fuel choice 2 is “Natural gas”. Second, iei_out_when is deliberately shown unless the child is in the lowest outdoor band on </w:t>
      </w:r>
      <w:r>
        <w:rPr>
          <w:rFonts w:ascii="Times New Roman" w:cs="Times New Roman" w:eastAsia="Times New Roman" w:hAnsi="Times New Roman"/>
          <w:i/>
          <w:iCs/>
          <w:sz w:val="22"/>
          <w:szCs w:val="22"/>
        </w:rPr>
        <w:t xml:space="preserve">both</w:t>
      </w:r>
      <w:r>
        <w:rPr>
          <w:rFonts w:ascii="Times New Roman" w:cs="Times New Roman" w:eastAsia="Times New Roman" w:hAnsi="Times New Roman"/>
          <w:sz w:val="22"/>
          <w:szCs w:val="22"/>
        </w:rPr>
        <w:t xml:space="preserve"> weekdays and weekends — a child who is outdoors little on school days but for hours at the weekend still needs the diurnal timing captured.</w:t>
      </w:r>
    </w:p>
    <w:p>
      <w:pPr>
        <w:spacing w:after="16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4.  Calculated fields</w:t>
      </w:r>
    </w:p>
    <w:p>
      <w:pPr>
        <w:spacing w:after="120" w:before="0" w:line="276"/>
      </w:pPr>
      <w:r>
        <w:rPr>
          <w:rFonts w:ascii="Times New Roman" w:cs="Times New Roman" w:eastAsia="Times New Roman" w:hAnsi="Times New Roman"/>
          <w:sz w:val="22"/>
          <w:szCs w:val="22"/>
        </w:rPr>
        <w:t xml:space="preserve">Five calculated fields replace the draft's eight, and produce the time weights the index consumes directly. Band midpoints are applied inside the expressions so no intermediate fields are needed.</w:t>
      </w:r>
    </w:p>
    <w:p>
      <w:pPr>
        <w:pStyle w:val="Heading3"/>
        <w:spacing w:after="80" w:before="200"/>
      </w:pPr>
      <w:r>
        <w:rPr>
          <w:rFonts w:ascii="Times New Roman" w:cs="Times New Roman" w:eastAsia="Times New Roman" w:hAnsi="Times New Roman"/>
          <w:b/>
          <w:bCs/>
          <w:color w:val="213C4E"/>
          <w:sz w:val="22"/>
          <w:szCs w:val="22"/>
        </w:rPr>
        <w:t xml:space="preserve">4.1  Band midpoints used</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3080"/>
        <w:gridCol w:w="1400"/>
        <w:gridCol w:w="1400"/>
        <w:gridCol w:w="1400"/>
        <w:gridCol w:w="1400"/>
        <w:gridCol w:w="1400"/>
      </w:tblGrid>
      <w:tr>
        <w:trPr>
          <w:tblHeader/>
        </w:trPr>
        <w:tc>
          <w:tcPr>
            <w:tcW w:type="dxa" w:w="30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Field</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Band 1</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Band 2</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Band 3</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Band 4</w:t>
            </w:r>
          </w:p>
        </w:tc>
        <w:tc>
          <w:tcPr>
            <w:tcW w:type="dxa" w:w="1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Band 5</w:t>
            </w:r>
          </w:p>
        </w:tc>
      </w:tr>
      <w:tr>
        <w:tc>
          <w:tcPr>
            <w:tcW w:type="dxa" w:w="308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iei_out_wd / iei_out_we</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0.25 h</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 h</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 h</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 h</w:t>
            </w:r>
          </w:p>
        </w:tc>
        <w:tc>
          <w:tcPr>
            <w:tcW w:type="dxa" w:w="1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5 h</w:t>
            </w:r>
          </w:p>
        </w:tc>
      </w:tr>
      <w:tr>
        <w:tc>
          <w:tcPr>
            <w:tcW w:type="dxa" w:w="308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iei_transit</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0.125 h</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0.5 h</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 h</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 h</w:t>
            </w:r>
          </w:p>
        </w:tc>
        <w:tc>
          <w:tcPr>
            <w:tcW w:type="dxa" w:w="1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 h</w:t>
            </w:r>
          </w:p>
        </w:tc>
      </w:tr>
    </w:tbl>
    <w:p>
      <w:pPr>
        <w:spacing w:after="120" w:before="0" w:line="276"/>
      </w:pPr>
      <w:r>
        <w:rPr>
          <w:rFonts w:ascii="Times New Roman" w:cs="Times New Roman" w:eastAsia="Times New Roman" w:hAnsi="Times New Roman"/>
          <w:i/>
          <w:iCs/>
          <w:sz w:val="20"/>
          <w:szCs w:val="20"/>
        </w:rPr>
        <w:t xml:space="preserve">The top band is open-ended in both cases, so its midpoint is a judgement rather than a midpoint: 5 hours for outdoor time and 3 hours for transit. Both are deliberately conservative, and both are varied in the sensitivity analysis.</w:t>
      </w:r>
    </w:p>
    <w:p>
      <w:pPr>
        <w:pStyle w:val="Heading3"/>
        <w:spacing w:after="80" w:before="200"/>
      </w:pPr>
      <w:r>
        <w:rPr>
          <w:rFonts w:ascii="Times New Roman" w:cs="Times New Roman" w:eastAsia="Times New Roman" w:hAnsi="Times New Roman"/>
          <w:b/>
          <w:bCs/>
          <w:color w:val="213C4E"/>
          <w:sz w:val="22"/>
          <w:szCs w:val="22"/>
        </w:rPr>
        <w:t xml:space="preserve">4.2  Expressions</w:t>
      </w:r>
    </w:p>
    <w:p>
      <w:pPr>
        <w:spacing w:after="50" w:before="0" w:line="276"/>
      </w:pPr>
      <w:r>
        <w:rPr>
          <w:rFonts w:ascii="Consolas" w:cs="Consolas" w:eastAsia="Consolas" w:hAnsi="Consolas"/>
          <w:b/>
          <w:bCs/>
          <w:sz w:val="20"/>
          <w:szCs w:val="20"/>
        </w:rPr>
        <w:t xml:space="preserve">iei_f_outdoor</w:t>
      </w:r>
      <w:r>
        <w:rPr>
          <w:rFonts w:ascii="Times New Roman" w:cs="Times New Roman" w:eastAsia="Times New Roman" w:hAnsi="Times New Roman"/>
          <w:sz w:val="20"/>
          <w:szCs w:val="20"/>
        </w:rPr>
        <w:t xml:space="preserve">  —  weekly fraction of time outdoors</w:t>
      </w:r>
    </w:p>
    <w:p>
      <w:pPr>
        <w:spacing w:after="80" w:before="0" w:line="276"/>
        <w:ind w:left="260"/>
      </w:pPr>
      <w:r>
        <w:rPr>
          <w:rFonts w:ascii="Consolas" w:cs="Consolas" w:eastAsia="Consolas" w:hAnsi="Consolas"/>
          <w:color w:val="333333"/>
          <w:sz w:val="18"/>
          <w:szCs w:val="18"/>
        </w:rPr>
        <w:t xml:space="preserve">round((</w:t>
      </w:r>
    </w:p>
    <w:p>
      <w:pPr>
        <w:spacing w:after="80" w:before="0" w:line="276"/>
        <w:ind w:left="400"/>
      </w:pPr>
      <w:r>
        <w:rPr>
          <w:rFonts w:ascii="Consolas" w:cs="Consolas" w:eastAsia="Consolas" w:hAnsi="Consolas"/>
          <w:color w:val="333333"/>
          <w:sz w:val="18"/>
          <w:szCs w:val="18"/>
        </w:rPr>
        <w:t xml:space="preserve">  (if([iei_out_wd]="1",0.25,if([iei_out_wd]="2",1,if([iei_out_wd]="3",2,</w:t>
      </w:r>
    </w:p>
    <w:p>
      <w:pPr>
        <w:spacing w:after="80" w:before="0" w:line="276"/>
        <w:ind w:left="400"/>
      </w:pPr>
      <w:r>
        <w:rPr>
          <w:rFonts w:ascii="Consolas" w:cs="Consolas" w:eastAsia="Consolas" w:hAnsi="Consolas"/>
          <w:color w:val="333333"/>
          <w:sz w:val="18"/>
          <w:szCs w:val="18"/>
        </w:rPr>
        <w:t xml:space="preserve">   if([iei_out_wd]="4",3,if([iei_out_wd]="5",5,0))))))*5</w:t>
      </w:r>
    </w:p>
    <w:p>
      <w:pPr>
        <w:spacing w:after="80" w:before="0" w:line="276"/>
        <w:ind w:left="400"/>
      </w:pPr>
      <w:r>
        <w:rPr>
          <w:rFonts w:ascii="Consolas" w:cs="Consolas" w:eastAsia="Consolas" w:hAnsi="Consolas"/>
          <w:color w:val="333333"/>
          <w:sz w:val="18"/>
          <w:szCs w:val="18"/>
        </w:rPr>
        <w:t xml:space="preserve">+ (if([iei_out_we]="1",0.25,if([iei_out_we]="2",1,if([iei_out_we]="3",2,</w:t>
      </w:r>
    </w:p>
    <w:p>
      <w:pPr>
        <w:spacing w:after="80" w:before="0" w:line="276"/>
        <w:ind w:left="400"/>
      </w:pPr>
      <w:r>
        <w:rPr>
          <w:rFonts w:ascii="Consolas" w:cs="Consolas" w:eastAsia="Consolas" w:hAnsi="Consolas"/>
          <w:color w:val="333333"/>
          <w:sz w:val="18"/>
          <w:szCs w:val="18"/>
        </w:rPr>
        <w:t xml:space="preserve">   if([iei_out_we]="4",3,if([iei_out_we]="5",5,0))))))*2</w:t>
      </w:r>
    </w:p>
    <w:p>
      <w:pPr>
        <w:spacing w:after="80" w:before="0" w:line="276"/>
        <w:ind w:left="260"/>
      </w:pPr>
      <w:r>
        <w:rPr>
          <w:rFonts w:ascii="Consolas" w:cs="Consolas" w:eastAsia="Consolas" w:hAnsi="Consolas"/>
          <w:color w:val="333333"/>
          <w:sz w:val="18"/>
          <w:szCs w:val="18"/>
        </w:rPr>
        <w:t xml:space="preserve">)/168,4)</w:t>
      </w:r>
    </w:p>
    <w:p>
      <w:pPr>
        <w:spacing w:after="50" w:before="100" w:line="276"/>
      </w:pPr>
      <w:r>
        <w:rPr>
          <w:rFonts w:ascii="Consolas" w:cs="Consolas" w:eastAsia="Consolas" w:hAnsi="Consolas"/>
          <w:b/>
          <w:bCs/>
          <w:sz w:val="20"/>
          <w:szCs w:val="20"/>
        </w:rPr>
        <w:t xml:space="preserve">iei_f_transit</w:t>
      </w:r>
      <w:r>
        <w:rPr>
          <w:rFonts w:ascii="Times New Roman" w:cs="Times New Roman" w:eastAsia="Times New Roman" w:hAnsi="Times New Roman"/>
          <w:sz w:val="20"/>
          <w:szCs w:val="20"/>
        </w:rPr>
        <w:t xml:space="preserve">  —  weekly fraction of time in a vehicle</w:t>
      </w:r>
    </w:p>
    <w:p>
      <w:pPr>
        <w:spacing w:after="80" w:before="0" w:line="276"/>
        <w:ind w:left="260"/>
      </w:pPr>
      <w:r>
        <w:rPr>
          <w:rFonts w:ascii="Consolas" w:cs="Consolas" w:eastAsia="Consolas" w:hAnsi="Consolas"/>
          <w:color w:val="333333"/>
          <w:sz w:val="18"/>
          <w:szCs w:val="18"/>
        </w:rPr>
        <w:t xml:space="preserve">round((if([iei_transit]="1",0.125,if([iei_transit]="2",0.5,if([iei_transit]="3",1,</w:t>
      </w:r>
    </w:p>
    <w:p>
      <w:pPr>
        <w:spacing w:after="80" w:before="0" w:line="276"/>
        <w:ind w:left="400"/>
      </w:pPr>
      <w:r>
        <w:rPr>
          <w:rFonts w:ascii="Consolas" w:cs="Consolas" w:eastAsia="Consolas" w:hAnsi="Consolas"/>
          <w:color w:val="333333"/>
          <w:sz w:val="18"/>
          <w:szCs w:val="18"/>
        </w:rPr>
        <w:t xml:space="preserve">  if([iei_transit]="4",2,if([iei_transit]="5",3,0)))))*7)/168,4)</w:t>
      </w:r>
    </w:p>
    <w:p>
      <w:pPr>
        <w:spacing w:after="50" w:before="100" w:line="276"/>
      </w:pPr>
      <w:r>
        <w:rPr>
          <w:rFonts w:ascii="Consolas" w:cs="Consolas" w:eastAsia="Consolas" w:hAnsi="Consolas"/>
          <w:b/>
          <w:bCs/>
          <w:sz w:val="20"/>
          <w:szCs w:val="20"/>
        </w:rPr>
        <w:t xml:space="preserve">iei_f_school</w:t>
      </w:r>
      <w:r>
        <w:rPr>
          <w:rFonts w:ascii="Times New Roman" w:cs="Times New Roman" w:eastAsia="Times New Roman" w:hAnsi="Times New Roman"/>
          <w:sz w:val="20"/>
          <w:szCs w:val="20"/>
        </w:rPr>
        <w:t xml:space="preserve">  —  weekly fraction of time at school or childcare</w:t>
      </w:r>
    </w:p>
    <w:p>
      <w:pPr>
        <w:spacing w:after="80" w:before="0" w:line="276"/>
        <w:ind w:left="260"/>
      </w:pPr>
      <w:r>
        <w:rPr>
          <w:rFonts w:ascii="Consolas" w:cs="Consolas" w:eastAsia="Consolas" w:hAnsi="Consolas"/>
          <w:color w:val="333333"/>
          <w:sz w:val="18"/>
          <w:szCs w:val="18"/>
        </w:rPr>
        <w:t xml:space="preserve">round(([iei_school_hrs_day]*[iei_school_days_wk])/168,4)</w:t>
      </w:r>
    </w:p>
    <w:p>
      <w:pPr>
        <w:spacing w:after="50" w:before="100" w:line="276"/>
      </w:pPr>
      <w:r>
        <w:rPr>
          <w:rFonts w:ascii="Consolas" w:cs="Consolas" w:eastAsia="Consolas" w:hAnsi="Consolas"/>
          <w:b/>
          <w:bCs/>
          <w:sz w:val="20"/>
          <w:szCs w:val="20"/>
        </w:rPr>
        <w:t xml:space="preserve">iei_f_home</w:t>
      </w:r>
      <w:r>
        <w:rPr>
          <w:rFonts w:ascii="Times New Roman" w:cs="Times New Roman" w:eastAsia="Times New Roman" w:hAnsi="Times New Roman"/>
          <w:sz w:val="20"/>
          <w:szCs w:val="20"/>
        </w:rPr>
        <w:t xml:space="preserve">  —  weekly fraction indoors at home, by subtraction</w:t>
      </w:r>
    </w:p>
    <w:p>
      <w:pPr>
        <w:spacing w:after="80" w:before="0" w:line="276"/>
        <w:ind w:left="260"/>
      </w:pPr>
      <w:r>
        <w:rPr>
          <w:rFonts w:ascii="Consolas" w:cs="Consolas" w:eastAsia="Consolas" w:hAnsi="Consolas"/>
          <w:color w:val="333333"/>
          <w:sz w:val="18"/>
          <w:szCs w:val="18"/>
        </w:rPr>
        <w:t xml:space="preserve">round(1-[iei_f_outdoor]-[iei_f_transit]-[iei_f_school],4)</w:t>
      </w:r>
    </w:p>
    <w:p>
      <w:pPr>
        <w:spacing w:after="50" w:before="100" w:line="276"/>
      </w:pPr>
      <w:r>
        <w:rPr>
          <w:rFonts w:ascii="Consolas" w:cs="Consolas" w:eastAsia="Consolas" w:hAnsi="Consolas"/>
          <w:b/>
          <w:bCs/>
          <w:sz w:val="20"/>
          <w:szCs w:val="20"/>
        </w:rPr>
        <w:t xml:space="preserve">iei_budget_flag</w:t>
      </w:r>
      <w:r>
        <w:rPr>
          <w:rFonts w:ascii="Times New Roman" w:cs="Times New Roman" w:eastAsia="Times New Roman" w:hAnsi="Times New Roman"/>
          <w:sz w:val="20"/>
          <w:szCs w:val="20"/>
        </w:rPr>
        <w:t xml:space="preserve">  —  QC flag, fires when the residual is implausibly small</w:t>
      </w:r>
    </w:p>
    <w:p>
      <w:pPr>
        <w:spacing w:after="80" w:before="0" w:line="276"/>
        <w:ind w:left="260"/>
      </w:pPr>
      <w:r>
        <w:rPr>
          <w:rFonts w:ascii="Consolas" w:cs="Consolas" w:eastAsia="Consolas" w:hAnsi="Consolas"/>
          <w:color w:val="333333"/>
          <w:sz w:val="18"/>
          <w:szCs w:val="18"/>
        </w:rPr>
        <w:t xml:space="preserve">if([iei_f_home]&lt;0.30,1,0)</w:t>
      </w:r>
    </w:p>
    <w:p>
      <w:pPr>
        <w:spacing w:after="120" w:before="0" w:line="276"/>
      </w:pPr>
      <w:r>
        <w:rPr>
          <w:rFonts w:ascii="Times New Roman" w:cs="Times New Roman" w:eastAsia="Times New Roman" w:hAnsi="Times New Roman"/>
          <w:i/>
          <w:iCs/>
          <w:sz w:val="20"/>
          <w:szCs w:val="20"/>
        </w:rPr>
        <w:t xml:space="preserve">Sleep alone accounts for roughly 0.40 of a child's week, so a home fraction below 0.30 means the reported outdoor, transit or school time is too high and the record needs review. This single flag replaces the two running totals and the range check in the draft.</w:t>
      </w:r>
    </w:p>
    <w:p>
      <w:pPr>
        <w:spacing w:after="120"/>
      </w:pPr>
      <w:r>
        <w:t xml:space="preserve"/>
      </w:r>
    </w:p>
    <w:tbl>
      <w:tblPr>
        <w:tblW w:type="dxa" w:w="10080"/>
        <w:tblBorders>
          <w:top w:val="single" w:color="2E6B8A" w:sz="4"/>
          <w:left w:val="single" w:color="2E6B8A" w:sz="18"/>
          <w:bottom w:val="single" w:color="2E6B8A" w:sz="4"/>
          <w:right w:val="single" w:color="2E6B8A"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E6B8A"/>
                <w:sz w:val="21"/>
                <w:szCs w:val="21"/>
              </w:rPr>
              <w:t xml:space="preserve">Splitting the home fraction between two residences</w:t>
            </w:r>
          </w:p>
          <w:p>
            <w:pPr>
              <w:spacing w:after="70" w:before="0" w:line="276"/>
            </w:pPr>
            <w:r>
              <w:rPr>
                <w:rFonts w:ascii="Consolas" w:cs="Consolas" w:eastAsia="Consolas" w:hAnsi="Consolas"/>
                <w:sz w:val="20"/>
                <w:szCs w:val="20"/>
              </w:rPr>
              <w:t xml:space="preserve">iei_f_home</w:t>
            </w:r>
            <w:r>
              <w:rPr>
                <w:rFonts w:ascii="Times New Roman" w:cs="Times New Roman" w:eastAsia="Times New Roman" w:hAnsi="Times New Roman"/>
                <w:sz w:val="20"/>
                <w:szCs w:val="20"/>
              </w:rPr>
              <w:t xml:space="preserve"> is the total time indoors at home, across both residences. The split is done in the analysis pipeline using fields that already exist, so no further questions are needed:</w:t>
            </w:r>
          </w:p>
          <w:p>
            <w:pPr>
              <w:spacing w:after="80" w:before="0" w:line="276"/>
              <w:ind w:left="260"/>
            </w:pPr>
            <w:r>
              <w:rPr>
                <w:rFonts w:ascii="Consolas" w:cs="Consolas" w:eastAsia="Consolas" w:hAnsi="Consolas"/>
                <w:color w:val="213C4E"/>
                <w:sz w:val="18"/>
                <w:szCs w:val="18"/>
              </w:rPr>
              <w:t xml:space="preserve">f_home_primary    = iei_f_home × (primary_home_pct / 100)</w:t>
            </w:r>
          </w:p>
          <w:p>
            <w:pPr>
              <w:spacing w:after="80" w:before="0" w:line="276"/>
              <w:ind w:left="260"/>
            </w:pPr>
            <w:r>
              <w:rPr>
                <w:rFonts w:ascii="Consolas" w:cs="Consolas" w:eastAsia="Consolas" w:hAnsi="Consolas"/>
                <w:color w:val="213C4E"/>
                <w:sz w:val="18"/>
                <w:szCs w:val="18"/>
              </w:rPr>
              <w:t xml:space="preserve">f_home_secondary  = iei_f_home × (secondary_home_pct_calc / 100)</w:t>
            </w:r>
          </w:p>
          <w:p>
            <w:pPr>
              <w:spacing w:after="0" w:before="0" w:line="276"/>
            </w:pPr>
            <w:r>
              <w:rPr>
                <w:rFonts w:ascii="Times New Roman" w:cs="Times New Roman" w:eastAsia="Times New Roman" w:hAnsi="Times New Roman"/>
                <w:i/>
                <w:iCs/>
                <w:sz w:val="20"/>
                <w:szCs w:val="20"/>
              </w:rPr>
              <w:t xml:space="preserve">For single-household children the second term is zero and the first is the whole fraction.</w:t>
            </w:r>
          </w:p>
        </w:tc>
      </w:tr>
    </w:tbl>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5.  Staff-curated fields</w:t>
      </w:r>
    </w:p>
    <w:p>
      <w:pPr>
        <w:spacing w:after="120" w:before="0" w:line="276"/>
      </w:pPr>
      <w:r>
        <w:rPr>
          <w:rFonts w:ascii="Times New Roman" w:cs="Times New Roman" w:eastAsia="Times New Roman" w:hAnsi="Times New Roman"/>
          <w:sz w:val="22"/>
          <w:szCs w:val="22"/>
        </w:rPr>
        <w:t xml:space="preserve">Two fields are completed by study staff rather than by the participant. Both should carry @READONLY on the survey so they are never exposed to a parent, and both are populated from public records at enrolment and re-checked if the child changes school.</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200"/>
        <w:gridCol w:w="800"/>
        <w:gridCol w:w="1200"/>
        <w:gridCol w:w="2800"/>
        <w:gridCol w:w="3080"/>
      </w:tblGrid>
      <w:tr>
        <w:trPr>
          <w:tblHeader/>
        </w:trPr>
        <w:tc>
          <w:tcPr>
            <w:tcW w:type="dxa" w:w="22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8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12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Validation</w:t>
            </w:r>
          </w:p>
        </w:tc>
        <w:tc>
          <w:tcPr>
            <w:tcW w:type="dxa" w:w="28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Source</w:t>
            </w:r>
          </w:p>
        </w:tc>
        <w:tc>
          <w:tcPr>
            <w:tcW w:type="dxa" w:w="30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Notes</w:t>
            </w:r>
          </w:p>
        </w:tc>
      </w:tr>
      <w:tr>
        <w:tc>
          <w:tcPr>
            <w:tcW w:type="dxa" w:w="22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iei_school_hrs_day</w:t>
            </w:r>
          </w:p>
        </w:tc>
        <w:tc>
          <w:tcPr>
            <w:tcW w:type="dxa" w:w="8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12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number, 0–12</w:t>
            </w:r>
          </w:p>
        </w:tc>
        <w:tc>
          <w:tcPr>
            <w:tcW w:type="dxa" w:w="28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bell schedule for the campus named in school_name</w:t>
            </w:r>
          </w:p>
        </w:tc>
        <w:tc>
          <w:tcPr>
            <w:tcW w:type="dxa" w:w="30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Instructional hours per day, excluding before/after-school care unless school_attendance = 3</w:t>
            </w:r>
          </w:p>
        </w:tc>
      </w:tr>
      <w:tr>
        <w:tc>
          <w:tcPr>
            <w:tcW w:type="dxa" w:w="22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iei_school_days_wk</w:t>
            </w:r>
          </w:p>
        </w:tc>
        <w:tc>
          <w:tcPr>
            <w:tcW w:type="dxa" w:w="8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12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integer, 0–7</w:t>
            </w:r>
          </w:p>
        </w:tc>
        <w:tc>
          <w:tcPr>
            <w:tcW w:type="dxa" w:w="28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District instructional calendar</w:t>
            </w:r>
          </w:p>
        </w:tc>
        <w:tc>
          <w:tcPr>
            <w:tcW w:type="dxa" w:w="30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Typically 5; lower for pre-K programmes and half-day kindergarten</w:t>
            </w:r>
          </w:p>
        </w:tc>
      </w:tr>
    </w:tbl>
    <w:p>
      <w:pPr>
        <w:spacing w:after="120"/>
      </w:pPr>
      <w:r>
        <w:t xml:space="preserve"/>
      </w:r>
    </w:p>
    <w:p>
      <w:pPr>
        <w:spacing w:after="120" w:before="0" w:line="276"/>
      </w:pPr>
      <w:r>
        <w:rPr>
          <w:rFonts w:ascii="Times New Roman" w:cs="Times New Roman" w:eastAsia="Times New Roman" w:hAnsi="Times New Roman"/>
          <w:sz w:val="22"/>
          <w:szCs w:val="22"/>
        </w:rPr>
        <w:t xml:space="preserve">For children not in school or childcare — </w:t>
      </w:r>
      <w:r>
        <w:rPr>
          <w:rFonts w:ascii="Consolas" w:cs="Consolas" w:eastAsia="Consolas" w:hAnsi="Consolas"/>
          <w:sz w:val="19"/>
          <w:szCs w:val="19"/>
        </w:rPr>
        <w:t xml:space="preserve">school_attendance = "4"</w:t>
      </w:r>
      <w:r>
        <w:rPr>
          <w:rFonts w:ascii="Times New Roman" w:cs="Times New Roman" w:eastAsia="Times New Roman" w:hAnsi="Times New Roman"/>
          <w:sz w:val="22"/>
          <w:szCs w:val="22"/>
        </w:rPr>
        <w:t xml:space="preserve"> and </w:t>
      </w:r>
      <w:r>
        <w:rPr>
          <w:rFonts w:ascii="Consolas" w:cs="Consolas" w:eastAsia="Consolas" w:hAnsi="Consolas"/>
          <w:sz w:val="19"/>
          <w:szCs w:val="19"/>
        </w:rPr>
        <w:t xml:space="preserve">daycare_attend &lt;&gt; "3"</w:t>
      </w:r>
      <w:r>
        <w:rPr>
          <w:rFonts w:ascii="Times New Roman" w:cs="Times New Roman" w:eastAsia="Times New Roman" w:hAnsi="Times New Roman"/>
          <w:sz w:val="22"/>
          <w:szCs w:val="22"/>
        </w:rPr>
        <w:t xml:space="preserve"> — both fields are set to zero, iei_f_school evaluates to zero, and the whole of the non-outdoor, non-transit week falls to the home fraction. That is the correct behaviour and needs no special handling.</w:t>
      </w:r>
    </w:p>
    <w:p>
      <w:pPr>
        <w:spacing w:after="140"/>
      </w:pPr>
      <w:r>
        <w:t xml:space="preserve"/>
      </w:r>
    </w:p>
    <w:p>
      <w:pPr>
        <w:pStyle w:val="Heading2"/>
        <w:spacing w:after="100" w:before="260"/>
      </w:pPr>
      <w:r>
        <w:rPr>
          <w:rFonts w:ascii="Times New Roman" w:cs="Times New Roman" w:eastAsia="Times New Roman" w:hAnsi="Times New Roman"/>
          <w:b/>
          <w:bCs/>
          <w:color w:val="2E6B8A"/>
          <w:sz w:val="24"/>
          <w:szCs w:val="24"/>
        </w:rPr>
        <w:t xml:space="preserve">5.1  Everything else is computed in the pipeline, not in REDCap</w:t>
      </w:r>
    </w:p>
    <w:p>
      <w:pPr>
        <w:spacing w:after="120" w:before="0" w:line="276"/>
      </w:pPr>
      <w:r>
        <w:rPr>
          <w:rFonts w:ascii="Times New Roman" w:cs="Times New Roman" w:eastAsia="Times New Roman" w:hAnsi="Times New Roman"/>
          <w:sz w:val="22"/>
          <w:szCs w:val="22"/>
        </w:rPr>
        <w:t xml:space="preserve">Distance to the nearest major road and its traffic volume, distance to the nearest permitted industrial facility, home vintage and living area, and the kriged pollutant surfaces themselves are all joined to the record in the analysis code from public datasets. They are deliberately not REDCap fields: they are derived quantities that will be recomputed whenever a surface is regenerated or an address changes, and freezing them into the dictionary would guarantee they go stale.</w:t>
      </w:r>
    </w:p>
    <w:p>
      <w:r>
        <w:br w:type="pag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6.  Item-by-item justification</w:t>
      </w:r>
    </w:p>
    <w:p>
      <w:pPr>
        <w:spacing w:after="120" w:before="0" w:line="276"/>
      </w:pPr>
      <w:r>
        <w:rPr>
          <w:rFonts w:ascii="Times New Roman" w:cs="Times New Roman" w:eastAsia="Times New Roman" w:hAnsi="Times New Roman"/>
          <w:sz w:val="22"/>
          <w:szCs w:val="22"/>
        </w:rPr>
        <w:t xml:space="preserve">Each item is defended on three grounds: what it contributes to the index, why it cannot be obtained any other way, and what specifically breaks if it is cut. Any item that failed the second test is not in this instrument.</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340"/>
        <w:gridCol w:w="1300"/>
        <w:gridCol w:w="1900"/>
        <w:gridCol w:w="3320"/>
        <w:gridCol w:w="3220"/>
      </w:tblGrid>
      <w:tr>
        <w:trPr>
          <w:tblHeader/>
        </w:trPr>
        <w:tc>
          <w:tcPr>
            <w:tcW w:type="dxa" w:w="34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t>
            </w:r>
          </w:p>
        </w:tc>
        <w:tc>
          <w:tcPr>
            <w:tcW w:type="dxa" w:w="13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 / type</w:t>
            </w:r>
          </w:p>
        </w:tc>
        <w:tc>
          <w:tcPr>
            <w:tcW w:type="dxa" w:w="1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it feeds</w:t>
            </w:r>
          </w:p>
        </w:tc>
        <w:tc>
          <w:tcPr>
            <w:tcW w:type="dxa" w:w="332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Why it must be asked</w:t>
            </w:r>
          </w:p>
        </w:tc>
        <w:tc>
          <w:tcPr>
            <w:tcW w:type="dxa" w:w="322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What breaks without it</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w:t>
            </w:r>
          </w:p>
        </w:tc>
        <w:tc>
          <w:tcPr>
            <w:tcW w:type="dxa" w:w="1300"/>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iei_out_wd</w:t>
            </w:r>
          </w:p>
          <w:p>
            <w:pPr>
              <w:spacing w:after="0" w:before="0" w:line="200"/>
            </w:pPr>
            <w:r>
              <w:rPr>
                <w:rFonts w:ascii="Times New Roman" w:cs="Times New Roman" w:eastAsia="Times New Roman" w:hAnsi="Times New Roman"/>
                <w:color w:val="777777"/>
                <w:sz w:val="17"/>
                <w:szCs w:val="17"/>
              </w:rPr>
              <w:t xml:space="preserve">radio</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weight f for the outdoor microenvironment on school days</w:t>
            </w:r>
          </w:p>
        </w:tc>
        <w:tc>
          <w:tcPr>
            <w:tcW w:type="dxa" w:w="33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No record exists of how long an individual child is outdoors. It is the single largest determinant of the ratio between ambient and personal exposure, and it varies several-fold between children in the same neighbourhood.</w:t>
            </w:r>
          </w:p>
        </w:tc>
        <w:tc>
          <w:tcPr>
            <w:tcW w:type="dxa" w:w="3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Every child is assigned a literature-default outdoor fraction. The index becomes a spatial surface with no personal time dimension — which is the exact criticism the IEI was designed to answer.</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2</w:t>
            </w:r>
          </w:p>
        </w:tc>
        <w:tc>
          <w:tcPr>
            <w:tcW w:type="dxa" w:w="1300"/>
            <w:shd w:fill="F5F7F9" w:color="auto" w:val="clear"/>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iei_out_we</w:t>
            </w:r>
          </w:p>
          <w:p>
            <w:pPr>
              <w:spacing w:after="0" w:before="0" w:line="200"/>
            </w:pPr>
            <w:r>
              <w:rPr>
                <w:rFonts w:ascii="Times New Roman" w:cs="Times New Roman" w:eastAsia="Times New Roman" w:hAnsi="Times New Roman"/>
                <w:color w:val="777777"/>
                <w:sz w:val="17"/>
                <w:szCs w:val="17"/>
              </w:rPr>
              <w:t xml:space="preserve">radio</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weight f for the outdoor microenvironment on non-school days</w:t>
            </w:r>
          </w:p>
        </w:tc>
        <w:tc>
          <w:tcPr>
            <w:tcW w:type="dxa" w:w="33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Weekend activity patterns differ systematically from weekday patterns, and weekend days are two sevenths of the week. A single "typical day" question would bias the weekly fraction.</w:t>
            </w:r>
          </w:p>
        </w:tc>
        <w:tc>
          <w:tcPr>
            <w:tcW w:type="dxa" w:w="3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Weekly outdoor time is estimated from school days alone, biasing exposure downward for active children and upward for sedentary ones.</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3</w:t>
            </w:r>
          </w:p>
        </w:tc>
        <w:tc>
          <w:tcPr>
            <w:tcW w:type="dxa" w:w="1300"/>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iei_out_when</w:t>
            </w:r>
          </w:p>
          <w:p>
            <w:pPr>
              <w:spacing w:after="0" w:before="0" w:line="200"/>
            </w:pPr>
            <w:r>
              <w:rPr>
                <w:rFonts w:ascii="Times New Roman" w:cs="Times New Roman" w:eastAsia="Times New Roman" w:hAnsi="Times New Roman"/>
                <w:color w:val="777777"/>
                <w:sz w:val="17"/>
                <w:szCs w:val="17"/>
              </w:rPr>
              <w:t xml:space="preserve">checkbox</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Diurnal alignment of outdoor time with the ozone curve</w:t>
            </w:r>
          </w:p>
        </w:tc>
        <w:tc>
          <w:tcPr>
            <w:tcW w:type="dxa" w:w="33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Ozone in the Coastal Bend peaks in the mid-afternoon and is near zero at dawn. Two children with identical outdoor hours can differ by a factor of three in ozone dose depending on when those hours fall. Nothing in the record indicates timing.</w:t>
            </w:r>
          </w:p>
        </w:tc>
        <w:tc>
          <w:tcPr>
            <w:tcW w:type="dxa" w:w="3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Ozone exposure is assigned as a daily mean. The O₃ term of the index loses most of its discriminating power, and the ozone–exacerbation analysis is materially weakened.</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4</w:t>
            </w:r>
          </w:p>
        </w:tc>
        <w:tc>
          <w:tcPr>
            <w:tcW w:type="dxa" w:w="1300"/>
            <w:shd w:fill="F5F7F9" w:color="auto" w:val="clear"/>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iei_transit</w:t>
            </w:r>
          </w:p>
          <w:p>
            <w:pPr>
              <w:spacing w:after="0" w:before="0" w:line="200"/>
            </w:pPr>
            <w:r>
              <w:rPr>
                <w:rFonts w:ascii="Times New Roman" w:cs="Times New Roman" w:eastAsia="Times New Roman" w:hAnsi="Times New Roman"/>
                <w:color w:val="777777"/>
                <w:sz w:val="17"/>
                <w:szCs w:val="17"/>
              </w:rPr>
              <w:t xml:space="preserve">radio</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Time weight f for the in-vehicle microenvironment</w:t>
            </w:r>
          </w:p>
        </w:tc>
        <w:tc>
          <w:tcPr>
            <w:tcW w:type="dxa" w:w="33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transportation_means records the mode but not the duration. In-vehicle concentrations of traffic-related pollutants run well above both ambient and indoor levels, so a short exposure carries disproportionate weight.</w:t>
            </w:r>
          </w:p>
        </w:tc>
        <w:tc>
          <w:tcPr>
            <w:tcW w:type="dxa" w:w="3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Transit time is folded into the home fraction at home concentrations, systematically underestimating traffic-related exposure — and doing so differentially, since bused and driven children differ.</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5</w:t>
            </w:r>
          </w:p>
        </w:tc>
        <w:tc>
          <w:tcPr>
            <w:tcW w:type="dxa" w:w="1300"/>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iei_windows</w:t>
            </w:r>
          </w:p>
          <w:p>
            <w:pPr>
              <w:spacing w:after="0" w:before="0" w:line="200"/>
            </w:pPr>
            <w:r>
              <w:rPr>
                <w:rFonts w:ascii="Times New Roman" w:cs="Times New Roman" w:eastAsia="Times New Roman" w:hAnsi="Times New Roman"/>
                <w:color w:val="777777"/>
                <w:sz w:val="17"/>
                <w:szCs w:val="17"/>
              </w:rPr>
              <w:t xml:space="preserve">radio</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Infiltration factor F_inf for the primary home</w:t>
            </w:r>
          </w:p>
        </w:tc>
        <w:tc>
          <w:tcPr>
            <w:tcW w:type="dxa" w:w="33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Window opening is the dominant driver of air exchange in a Gulf Coast climate and is purely behavioural — no record, no equipment inventory, and no property attribute predicts it.</w:t>
            </w:r>
          </w:p>
        </w:tc>
        <w:tc>
          <w:tcPr>
            <w:tcW w:type="dxa" w:w="3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collapses to a single constant for the whole cohort. The indoor half of the index becomes a fixed multiple of the outdoor half, and the two stop being separable.</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6</w:t>
            </w:r>
          </w:p>
        </w:tc>
        <w:tc>
          <w:tcPr>
            <w:tcW w:type="dxa" w:w="1300"/>
            <w:shd w:fill="F5F7F9" w:color="auto" w:val="clear"/>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iei_ac_use</w:t>
            </w:r>
          </w:p>
          <w:p>
            <w:pPr>
              <w:spacing w:after="0" w:before="0" w:line="200"/>
            </w:pPr>
            <w:r>
              <w:rPr>
                <w:rFonts w:ascii="Times New Roman" w:cs="Times New Roman" w:eastAsia="Times New Roman" w:hAnsi="Times New Roman"/>
                <w:color w:val="777777"/>
                <w:sz w:val="17"/>
                <w:szCs w:val="17"/>
              </w:rPr>
              <w:t xml:space="preserve">radio</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Infiltration factor F_inf — the recirculation term</w:t>
            </w:r>
          </w:p>
        </w:tc>
        <w:tc>
          <w:tcPr>
            <w:tcW w:type="dxa" w:w="33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ac_type gives the equipment; it says nothing about whether it runs. A household with central air that cannot afford to run it behaves like a household with none, and that difference is patterned by income in exactly the way this cohort is designed to detect.</w:t>
            </w:r>
          </w:p>
        </w:tc>
        <w:tc>
          <w:tcPr>
            <w:tcW w:type="dxa" w:w="3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Cooling is imputed from equipment type, conflating households that run their AC with those that cannot afford to — biasing the index along the socioeconomic gradient the study is examining.</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7</w:t>
            </w:r>
          </w:p>
        </w:tc>
        <w:tc>
          <w:tcPr>
            <w:tcW w:type="dxa" w:w="1300"/>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iei_stove_freq</w:t>
            </w:r>
          </w:p>
          <w:p>
            <w:pPr>
              <w:spacing w:after="0" w:before="0" w:line="200"/>
            </w:pPr>
            <w:r>
              <w:rPr>
                <w:rFonts w:ascii="Times New Roman" w:cs="Times New Roman" w:eastAsia="Times New Roman" w:hAnsi="Times New Roman"/>
                <w:color w:val="777777"/>
                <w:sz w:val="17"/>
                <w:szCs w:val="17"/>
              </w:rPr>
              <w:t xml:space="preserve">radio</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Indoor source term C_source for NO₂ and combustion particles</w:t>
            </w:r>
          </w:p>
        </w:tc>
        <w:tc>
          <w:tcPr>
            <w:tcW w:type="dxa" w:w="33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cook_fuel establishes that the stove is gas; the NO₂ source term scales with how often it is lit. Frequency is behavioural and unrecorded.</w:t>
            </w:r>
          </w:p>
        </w:tc>
        <w:tc>
          <w:tcPr>
            <w:tcW w:type="dxa" w:w="3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Every gas household receives the same source term regardless of whether the stove is used twice daily or once a week — a large and avoidable error in the strongest indoor combustion pathway.</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8</w:t>
            </w:r>
          </w:p>
        </w:tc>
        <w:tc>
          <w:tcPr>
            <w:tcW w:type="dxa" w:w="1300"/>
            <w:shd w:fill="F5F7F9" w:color="auto" w:val="clear"/>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iei_purifier</w:t>
            </w:r>
          </w:p>
          <w:p>
            <w:pPr>
              <w:spacing w:after="0" w:before="0" w:line="200"/>
            </w:pPr>
            <w:r>
              <w:rPr>
                <w:rFonts w:ascii="Times New Roman" w:cs="Times New Roman" w:eastAsia="Times New Roman" w:hAnsi="Times New Roman"/>
                <w:color w:val="777777"/>
                <w:sz w:val="17"/>
                <w:szCs w:val="17"/>
              </w:rPr>
              <w:t xml:space="preserve">yesno</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Indoor particle removal term</w:t>
            </w:r>
          </w:p>
        </w:tc>
        <w:tc>
          <w:tcPr>
            <w:tcW w:type="dxa" w:w="33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A running air cleaner can halve indoor PM2.5. Its presence is invisible to every external record and to every other field in the dictionary.</w:t>
            </w:r>
          </w:p>
        </w:tc>
        <w:tc>
          <w:tcPr>
            <w:tcW w:type="dxa" w:w="3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Indoor PM is overestimated for the families who have taken the most effective single mitigation step — precisely the families a clinical audience will ask about.</w:t>
            </w:r>
          </w:p>
        </w:tc>
      </w:tr>
      <w:tr>
        <w:tc>
          <w:tcPr>
            <w:tcW w:type="dxa" w:w="34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9</w:t>
            </w:r>
          </w:p>
        </w:tc>
        <w:tc>
          <w:tcPr>
            <w:tcW w:type="dxa" w:w="1300"/>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iei_sec_windows</w:t>
            </w:r>
          </w:p>
          <w:p>
            <w:pPr>
              <w:spacing w:after="0" w:before="0" w:line="200"/>
            </w:pPr>
            <w:r>
              <w:rPr>
                <w:rFonts w:ascii="Times New Roman" w:cs="Times New Roman" w:eastAsia="Times New Roman" w:hAnsi="Times New Roman"/>
                <w:color w:val="777777"/>
                <w:sz w:val="17"/>
                <w:szCs w:val="17"/>
              </w:rPr>
              <w:t xml:space="preserve">radio</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for the secondary residence</w:t>
            </w:r>
          </w:p>
        </w:tc>
        <w:tc>
          <w:tcPr>
            <w:tcW w:type="dxa" w:w="33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The second home has its own ventilation behaviour, and for a child on equal-time custody it carries half the home weight. secondary_household_details captures its equipment but not its habits.</w:t>
            </w:r>
          </w:p>
        </w:tc>
        <w:tc>
          <w:tcPr>
            <w:tcW w:type="dxa" w:w="322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The secondary home inherits the primary home's infiltration assumptions — an unvalidated transfer across two separate buildings and two separate households.</w:t>
            </w:r>
          </w:p>
        </w:tc>
      </w:tr>
      <w:tr>
        <w:tc>
          <w:tcPr>
            <w:tcW w:type="dxa" w:w="34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10</w:t>
            </w:r>
          </w:p>
        </w:tc>
        <w:tc>
          <w:tcPr>
            <w:tcW w:type="dxa" w:w="1300"/>
            <w:shd w:fill="F5F7F9" w:color="auto" w:val="clear"/>
            <w:tcMar>
              <w:top w:type="dxa" w:w="70"/>
              <w:left w:type="dxa" w:w="110"/>
              <w:bottom w:type="dxa" w:w="70"/>
              <w:right w:type="dxa" w:w="110"/>
            </w:tcMar>
          </w:tcPr>
          <w:p>
            <w:pPr>
              <w:spacing w:after="20" w:before="0" w:line="220"/>
            </w:pPr>
            <w:r>
              <w:rPr>
                <w:rFonts w:ascii="Consolas" w:cs="Consolas" w:eastAsia="Consolas" w:hAnsi="Consolas"/>
                <w:b/>
                <w:bCs/>
                <w:sz w:val="18"/>
                <w:szCs w:val="18"/>
              </w:rPr>
              <w:t xml:space="preserve">iei_sec_ac_use</w:t>
            </w:r>
          </w:p>
          <w:p>
            <w:pPr>
              <w:spacing w:after="0" w:before="0" w:line="200"/>
            </w:pPr>
            <w:r>
              <w:rPr>
                <w:rFonts w:ascii="Times New Roman" w:cs="Times New Roman" w:eastAsia="Times New Roman" w:hAnsi="Times New Roman"/>
                <w:color w:val="777777"/>
                <w:sz w:val="17"/>
                <w:szCs w:val="17"/>
              </w:rPr>
              <w:t xml:space="preserve">radio</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F_inf for the secondary residence — recirculation</w:t>
            </w:r>
          </w:p>
        </w:tc>
        <w:tc>
          <w:tcPr>
            <w:tcW w:type="dxa" w:w="33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Same argument as item 6, applied to the second building. This is the one item in the set with no counterpart in the August 31 draft, which asked only for the secondary home's equipment type — already a duplicate of sec_ac_type.</w:t>
            </w:r>
          </w:p>
        </w:tc>
        <w:tc>
          <w:tcPr>
            <w:tcW w:type="dxa" w:w="322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Multi-household children — around a quarter of the cohort, and the subgroup with the most complex exposure — get the weakest exposure estimates in the study.</w:t>
            </w:r>
          </w:p>
        </w:tc>
      </w:tr>
    </w:tbl>
    <w:p>
      <w:pPr>
        <w:spacing w:after="180"/>
      </w:pPr>
      <w:r>
        <w:t xml:space="preserve"/>
      </w:r>
    </w:p>
    <w:p>
      <w:pPr>
        <w:pStyle w:val="Heading2"/>
        <w:spacing w:after="100" w:before="260"/>
      </w:pPr>
      <w:r>
        <w:rPr>
          <w:rFonts w:ascii="Times New Roman" w:cs="Times New Roman" w:eastAsia="Times New Roman" w:hAnsi="Times New Roman"/>
          <w:b/>
          <w:bCs/>
          <w:color w:val="2E6B8A"/>
          <w:sz w:val="24"/>
          <w:szCs w:val="24"/>
        </w:rPr>
        <w:t xml:space="preserve">6.1  The test every excluded item failed</w:t>
      </w:r>
    </w:p>
    <w:p>
      <w:pPr>
        <w:spacing w:after="120" w:before="0" w:line="276"/>
      </w:pPr>
      <w:r>
        <w:rPr>
          <w:rFonts w:ascii="Times New Roman" w:cs="Times New Roman" w:eastAsia="Times New Roman" w:hAnsi="Times New Roman"/>
          <w:sz w:val="22"/>
          <w:szCs w:val="22"/>
        </w:rPr>
        <w:t xml:space="preserve">For completeness, the rule applied to the other 51 participant-facing items in the draft was a single question: can this be obtained from the existing dictionary, from a public record, or by arithmetic? Twenty-two were already in production, nine were available publicly at better accuracy, twelve were dropped as outside the scope of an exposure index, and the twelve-field hour grid was replaced by items 1, 2 and 4 above plus a subtraction. The reconciliation table in the companion document accounts for all of them individually.</w:t>
      </w:r>
    </w:p>
    <w:p>
      <w:pPr>
        <w:spacing w:after="160"/>
      </w:pPr>
      <w:r>
        <w:t xml:space="preserve"/>
      </w:r>
    </w:p>
    <w:p>
      <w:pPr>
        <w:pStyle w:val="Heading1"/>
        <w:pBdr>
          <w:bottom w:val="single" w:color="2E6B8A" w:sz="8" w:space="6"/>
        </w:pBdr>
        <w:spacing w:after="140" w:before="320"/>
      </w:pPr>
      <w:r>
        <w:rPr>
          <w:rFonts w:ascii="Times New Roman" w:cs="Times New Roman" w:eastAsia="Times New Roman" w:hAnsi="Times New Roman"/>
          <w:b/>
          <w:bCs/>
          <w:color w:val="213C4E"/>
          <w:sz w:val="28"/>
          <w:szCs w:val="28"/>
        </w:rPr>
        <w:t xml:space="preserve">7.  Data dictionary import preview</w:t>
      </w:r>
    </w:p>
    <w:p>
      <w:pPr>
        <w:spacing w:after="120" w:before="0" w:line="276"/>
      </w:pPr>
      <w:r>
        <w:rPr>
          <w:rFonts w:ascii="Times New Roman" w:cs="Times New Roman" w:eastAsia="Times New Roman" w:hAnsi="Times New Roman"/>
          <w:sz w:val="22"/>
          <w:szCs w:val="22"/>
        </w:rPr>
        <w:t xml:space="preserve">The instrument imports as 19 rows. Column order follows the standard REDCap data dictionary export.</w:t>
      </w:r>
    </w:p>
    <w:tbl>
      <w:tblPr>
        <w:tblW w:type="dxa" w:w="10080"/>
        <w:tblBorders>
          <w:top w:val="single" w:color="CCCCCC" w:sz="4"/>
          <w:left w:val="single" w:color="CCCCCC" w:sz="4"/>
          <w:bottom w:val="single" w:color="CCCCCC" w:sz="4"/>
          <w:right w:val="single" w:color="CCCCCC" w:sz="4"/>
          <w:insideH w:val="single" w:color="CCCCCC" w:sz="2"/>
          <w:insideV w:val="single" w:color="CCCCCC" w:sz="2"/>
        </w:tblBorders>
      </w:tblPr>
      <w:tblGrid>
        <w:gridCol w:w="2100"/>
        <w:gridCol w:w="1900"/>
        <w:gridCol w:w="2400"/>
        <w:gridCol w:w="1300"/>
        <w:gridCol w:w="1280"/>
        <w:gridCol w:w="550"/>
        <w:gridCol w:w="550"/>
      </w:tblGrid>
      <w:tr>
        <w:trPr>
          <w:tblHeader/>
        </w:trPr>
        <w:tc>
          <w:tcPr>
            <w:tcW w:type="dxa" w:w="21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Variable</w:t>
            </w:r>
          </w:p>
        </w:tc>
        <w:tc>
          <w:tcPr>
            <w:tcW w:type="dxa" w:w="19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Form</w:t>
            </w:r>
          </w:p>
        </w:tc>
        <w:tc>
          <w:tcPr>
            <w:tcW w:type="dxa" w:w="24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Section</w:t>
            </w:r>
          </w:p>
        </w:tc>
        <w:tc>
          <w:tcPr>
            <w:tcW w:type="dxa" w:w="130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Type</w:t>
            </w:r>
          </w:p>
        </w:tc>
        <w:tc>
          <w:tcPr>
            <w:tcW w:type="dxa" w:w="128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Validation</w:t>
            </w:r>
          </w:p>
        </w:tc>
        <w:tc>
          <w:tcPr>
            <w:tcW w:type="dxa" w:w="55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Required</w:t>
            </w:r>
          </w:p>
        </w:tc>
        <w:tc>
          <w:tcPr>
            <w:tcW w:type="dxa" w:w="550"/>
            <w:shd w:fill="213C4E" w:color="auto" w:val="clear"/>
            <w:tcMar>
              <w:top w:type="dxa" w:w="70"/>
              <w:left w:type="dxa" w:w="110"/>
              <w:bottom w:type="dxa" w:w="70"/>
              <w:right w:type="dxa" w:w="110"/>
            </w:tcMar>
          </w:tcPr>
          <w:p>
            <w:pPr>
              <w:spacing w:after="0" w:before="0" w:line="240"/>
            </w:pPr>
            <w:r>
              <w:rPr>
                <w:rFonts w:ascii="Times New Roman" w:cs="Times New Roman" w:eastAsia="Times New Roman" w:hAnsi="Times New Roman"/>
                <w:b/>
                <w:bCs/>
                <w:color w:val="FFFFFF"/>
                <w:sz w:val="18"/>
                <w:szCs w:val="18"/>
              </w:rPr>
              <w:t xml:space="preserve">Identifier</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iei_intro_time</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Where your child spends time</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descriptive</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iei_out_wd</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iei_out_we</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iei_out_when</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checkbox</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iei_transit</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iei_intro_home</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Your home</w:t>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descriptive</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iei_windows</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iei_ac_use</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iei_stove_freq</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iei_purifier</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yesno</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y</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iei_sec_windows</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The other home</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iei_sec_ac_use</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radio</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iei_school_hrs_day</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Staff use only</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number 0–12</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iei_school_days_wk</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text</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integer 0–7</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iei_f_outdoor</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Derived values</w:t>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iei_f_transit</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iei_f_school</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shd w:fill="F5F7F9" w:color="auto" w:val="clear"/>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iei_f_home</w:t>
            </w:r>
          </w:p>
        </w:tc>
        <w:tc>
          <w:tcPr>
            <w:tcW w:type="dxa" w:w="19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128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shd w:fill="F5F7F9" w:color="auto" w:val="clear"/>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r>
        <w:tc>
          <w:tcPr>
            <w:tcW w:type="dxa" w:w="2100"/>
            <w:tcMar>
              <w:top w:type="dxa" w:w="70"/>
              <w:left w:type="dxa" w:w="110"/>
              <w:bottom w:type="dxa" w:w="70"/>
              <w:right w:type="dxa" w:w="110"/>
            </w:tcMar>
          </w:tcPr>
          <w:p>
            <w:pPr>
              <w:spacing w:after="0" w:before="0" w:line="240"/>
            </w:pPr>
            <w:r>
              <w:rPr>
                <w:rFonts w:ascii="Consolas" w:cs="Consolas" w:eastAsia="Consolas" w:hAnsi="Consolas"/>
                <w:sz w:val="18"/>
                <w:szCs w:val="18"/>
              </w:rPr>
              <w:t xml:space="preserve">iei_budget_flag</w:t>
            </w:r>
          </w:p>
        </w:tc>
        <w:tc>
          <w:tcPr>
            <w:tcW w:type="dxa" w:w="19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iei_supplement</w:t>
            </w:r>
          </w:p>
        </w:tc>
        <w:tc>
          <w:tcPr>
            <w:tcW w:type="dxa" w:w="24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
            </w:r>
          </w:p>
        </w:tc>
        <w:tc>
          <w:tcPr>
            <w:tcW w:type="dxa" w:w="130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calc</w:t>
            </w:r>
          </w:p>
        </w:tc>
        <w:tc>
          <w:tcPr>
            <w:tcW w:type="dxa" w:w="128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c>
          <w:tcPr>
            <w:tcW w:type="dxa" w:w="550"/>
            <w:tcMar>
              <w:top w:type="dxa" w:w="70"/>
              <w:left w:type="dxa" w:w="110"/>
              <w:bottom w:type="dxa" w:w="70"/>
              <w:right w:type="dxa" w:w="110"/>
            </w:tcMar>
          </w:tcPr>
          <w:p>
            <w:pPr>
              <w:spacing w:after="0" w:before="0" w:line="240"/>
            </w:pPr>
            <w:r>
              <w:rPr>
                <w:rFonts w:ascii="Times New Roman" w:cs="Times New Roman" w:eastAsia="Times New Roman" w:hAnsi="Times New Roman"/>
                <w:sz w:val="18"/>
                <w:szCs w:val="18"/>
              </w:rPr>
              <w:t xml:space="preserve">n</w:t>
            </w:r>
          </w:p>
        </w:tc>
      </w:tr>
    </w:tbl>
    <w:p>
      <w:pPr>
        <w:spacing w:after="140"/>
      </w:pPr>
      <w:r>
        <w:t xml:space="preserve"/>
      </w:r>
    </w:p>
    <w:tbl>
      <w:tblPr>
        <w:tblW w:type="dxa" w:w="10080"/>
        <w:tblBorders>
          <w:top w:val="single" w:color="2E6B8A" w:sz="4"/>
          <w:left w:val="single" w:color="2E6B8A" w:sz="18"/>
          <w:bottom w:val="single" w:color="2E6B8A" w:sz="4"/>
          <w:right w:val="single" w:color="2E6B8A" w:sz="4"/>
          <w:insideH w:val="none"/>
          <w:insideV w:val="none"/>
        </w:tblBorders>
      </w:tblPr>
      <w:tblGrid>
        <w:gridCol w:w="10080"/>
      </w:tblGrid>
      <w:tr>
        <w:tc>
          <w:tcPr>
            <w:tcW w:type="dxa" w:w="10080"/>
            <w:shd w:fill="F5F7F9" w:color="auto" w:val="clear"/>
            <w:tcMar>
              <w:top w:type="dxa" w:w="140"/>
              <w:left w:type="dxa" w:w="180"/>
              <w:bottom w:type="dxa" w:w="140"/>
              <w:right w:type="dxa" w:w="180"/>
            </w:tcMar>
          </w:tcPr>
          <w:p>
            <w:pPr>
              <w:spacing w:after="80" w:before="0" w:line="276"/>
            </w:pPr>
            <w:r>
              <w:rPr>
                <w:rFonts w:ascii="Times New Roman" w:cs="Times New Roman" w:eastAsia="Times New Roman" w:hAnsi="Times New Roman"/>
                <w:b/>
                <w:bCs/>
                <w:color w:val="2E6B8A"/>
                <w:sz w:val="21"/>
                <w:szCs w:val="21"/>
              </w:rPr>
              <w:t xml:space="preserve">Deployment note</w:t>
            </w:r>
          </w:p>
          <w:p>
            <w:pPr>
              <w:spacing w:after="0" w:before="0" w:line="276"/>
            </w:pPr>
            <w:r>
              <w:rPr>
                <w:rFonts w:ascii="Times New Roman" w:cs="Times New Roman" w:eastAsia="Times New Roman" w:hAnsi="Times New Roman"/>
                <w:sz w:val="20"/>
                <w:szCs w:val="20"/>
              </w:rPr>
              <w:t xml:space="preserve">Map the instrument to </w:t>
            </w:r>
            <w:r>
              <w:rPr>
                <w:rFonts w:ascii="Consolas" w:cs="Consolas" w:eastAsia="Consolas" w:hAnsi="Consolas"/>
                <w:sz w:val="20"/>
                <w:szCs w:val="20"/>
              </w:rPr>
              <w:t xml:space="preserve">baseline_arm_1</w:t>
            </w:r>
            <w:r>
              <w:rPr>
                <w:rFonts w:ascii="Times New Roman" w:cs="Times New Roman" w:eastAsia="Times New Roman" w:hAnsi="Times New Roman"/>
                <w:sz w:val="20"/>
                <w:szCs w:val="20"/>
              </w:rPr>
              <w:t xml:space="preserve"> for all currently enrolled participants, and consider a single repeat at </w:t>
            </w:r>
            <w:r>
              <w:rPr>
                <w:rFonts w:ascii="Consolas" w:cs="Consolas" w:eastAsia="Consolas" w:hAnsi="Consolas"/>
                <w:sz w:val="20"/>
                <w:szCs w:val="20"/>
              </w:rPr>
              <w:t xml:space="preserve">month_6_arm_1</w:t>
            </w:r>
            <w:r>
              <w:rPr>
                <w:rFonts w:ascii="Times New Roman" w:cs="Times New Roman" w:eastAsia="Times New Roman" w:hAnsi="Times New Roman"/>
                <w:sz w:val="20"/>
                <w:szCs w:val="20"/>
              </w:rPr>
              <w:t xml:space="preserve"> or </w:t>
            </w:r>
            <w:r>
              <w:rPr>
                <w:rFonts w:ascii="Consolas" w:cs="Consolas" w:eastAsia="Consolas" w:hAnsi="Consolas"/>
                <w:sz w:val="20"/>
                <w:szCs w:val="20"/>
              </w:rPr>
              <w:t xml:space="preserve">month_12_arm_1</w:t>
            </w:r>
            <w:r>
              <w:rPr>
                <w:rFonts w:ascii="Times New Roman" w:cs="Times New Roman" w:eastAsia="Times New Roman" w:hAnsi="Times New Roman"/>
                <w:sz w:val="20"/>
                <w:szCs w:val="20"/>
              </w:rPr>
              <w:t xml:space="preserve"> to capture seasonal change in window and cooling behaviour. A repeat is optional — it strengthens the infiltration term but is not required for the index to be computed, and it should be presented to the IRB as optional so that a query about burden cannot delay the core approval.</w:t>
            </w:r>
          </w:p>
        </w:tc>
      </w:tr>
    </w:tbl>
    <w:p>
      <w:pPr>
        <w:spacing w:after="200"/>
      </w:pPr>
      <w:r>
        <w:t xml:space="preserve"/>
      </w:r>
    </w:p>
    <w:p>
      <w:pPr>
        <w:spacing w:after="120" w:before="0" w:line="276"/>
      </w:pPr>
      <w:r>
        <w:rPr>
          <w:rFonts w:ascii="Times New Roman" w:cs="Times New Roman" w:eastAsia="Times New Roman" w:hAnsi="Times New Roman"/>
          <w:b/>
          <w:bCs/>
          <w:i/>
          <w:iCs/>
          <w:sz w:val="20"/>
          <w:szCs w:val="20"/>
        </w:rPr>
        <w:t xml:space="preserve">Companion document: </w:t>
      </w:r>
      <w:r>
        <w:rPr>
          <w:rFonts w:ascii="Times New Roman" w:cs="Times New Roman" w:eastAsia="Times New Roman" w:hAnsi="Times New Roman"/>
          <w:i/>
          <w:iCs/>
          <w:sz w:val="20"/>
          <w:szCs w:val="20"/>
        </w:rPr>
        <w:t xml:space="preserve">“IEI Field Inventory and Minimal Addition Set” — the full inventory of production fields, the item-by-item reconciliation of the August 31 draft, the public data sources used in place of survey questions, and the IRB analysis.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6"/>
        <w:szCs w:val="16"/>
      </w:rPr>
      <w:t xml:space="preserve">BREATHE-CC  ·  IEI Honors Thesis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0"/>
      <w:jc w:val="right"/>
    </w:pPr>
    <w:r>
      <w:rPr>
        <w:rFonts w:ascii="Times New Roman" w:cs="Times New Roman" w:eastAsia="Times New Roman" w:hAnsi="Times New Roman"/>
        <w:i/>
        <w:iCs/>
        <w:color w:val="777777"/>
        <w:sz w:val="16"/>
        <w:szCs w:val="16"/>
      </w:rPr>
      <w:t xml:space="preserve">IEI Supplement — Sample Form and Item Justification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lvl w:ilvl="1" w15:tentative="1">
      <w:start w:val="1"/>
      <w:numFmt w:val="bullet"/>
      <w:lvlText w:val="◦"/>
      <w:lvlJc w:val="left"/>
      <w:pPr>
        <w:ind w:left="760" w:hanging="200"/>
      </w:pPr>
    </w:lvl>
  </w:abstractNum>
  <w:abstractNum w:abstractNumId="3" w15:restartNumberingAfterBreak="0">
    <w:multiLevelType w:val="hybridMultilevel"/>
    <w:lvl w:ilvl="0" w15:tentative="1">
      <w:start w:val="1"/>
      <w:numFmt w:val="decimal"/>
      <w:lvlText w:val="%1."/>
      <w:lvlJc w:val="left"/>
      <w:pPr>
        <w:ind w:left="4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2026-09-10T03:19:57.173Z</dcterms:created>
  <dcterms:modified xsi:type="dcterms:W3CDTF">2026-09-10T03:19:57.175Z</dcterms:modified>
</cp:coreProperties>
</file>

<file path=docProps/custom.xml><?xml version="1.0" encoding="utf-8"?>
<Properties xmlns="http://schemas.openxmlformats.org/officeDocument/2006/custom-properties" xmlns:vt="http://schemas.openxmlformats.org/officeDocument/2006/docPropsVTypes"/>
</file>